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Приказ министерства природных ресурсов и экологии Саратовской области от 17.06.2014 N 281</w:t>
              <w:br/>
              <w:t xml:space="preserve">(ред. от 01.06.2026)</w:t>
              <w:br/>
              <w:t xml:space="preserve">"Об утверждении административного регламента по предоставлению государственной услуги"</w:t>
              <w:br/>
              <w:t xml:space="preserve">(вместе с "Административным регламентом предоставления государственной услуги "Проведение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июня 2014 г. N 281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природных ресурсов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 экологии Саратовской области от 20.10.2014 </w:t>
            </w:r>
            <w:hyperlink w:history="0" r:id="rId8" w:tooltip="Приказ министерства природных ресурсов и экологии Саратовской области от 20.10.2014 N 439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02.04.2015 </w:t>
            </w:r>
            <w:hyperlink w:history="0" r:id="rId9" w:tooltip="Приказ министерства природных ресурсов и экологии Саратовской области от 02.04.2015 N 13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137</w:t>
              </w:r>
            </w:hyperlink>
            <w:r>
              <w:rPr>
                <w:sz w:val="20"/>
                <w:color w:val="392c69"/>
              </w:rPr>
              <w:t xml:space="preserve">, от 17.08.2015 </w:t>
            </w:r>
            <w:hyperlink w:history="0" r:id="rId10" w:tooltip="Приказ министерства природных ресурсов и экологии Саратовской области от 17.08.2015 N 380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380</w:t>
              </w:r>
            </w:hyperlink>
            <w:r>
              <w:rPr>
                <w:sz w:val="20"/>
                <w:color w:val="392c69"/>
              </w:rPr>
              <w:t xml:space="preserve">, от 19.10.2015 </w:t>
            </w:r>
            <w:hyperlink w:history="0" r:id="rId11" w:tooltip="Приказ министерства природных ресурсов и экологии Саратовской области от 19.10.2015 N 479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479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08.12.2015 </w:t>
            </w:r>
            <w:hyperlink w:history="0" r:id="rId12" w:tooltip="Приказ министерства природных ресурсов и экологии Саратовской области от 08.12.2015 N 56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567</w:t>
              </w:r>
            </w:hyperlink>
            <w:r>
              <w:rPr>
                <w:sz w:val="20"/>
                <w:color w:val="392c69"/>
              </w:rPr>
              <w:t xml:space="preserve">, от 14.12.2015 </w:t>
            </w:r>
            <w:hyperlink w:history="0" r:id="rId13" w:tooltip="Приказ министерства природных ресурсов и экологии Саратовской области от 14.12.2015 N 582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582</w:t>
              </w:r>
            </w:hyperlink>
            <w:r>
              <w:rPr>
                <w:sz w:val="20"/>
                <w:color w:val="392c69"/>
              </w:rPr>
              <w:t xml:space="preserve">, от 12.10.2016 </w:t>
            </w:r>
            <w:hyperlink w:history="0" r:id="rId14" w:tooltip="Приказ министерства природных ресурсов и экологии Саратовской области от 12.10.2016 N 749 &quot;О внесении изменений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N 749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10.04.2017 </w:t>
            </w:r>
            <w:hyperlink w:history="0" r:id="rId15" w:tooltip="Приказ министерства природных ресурсов и экологии Саратовской области от 10.04.2017 N 266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266</w:t>
              </w:r>
            </w:hyperlink>
            <w:r>
              <w:rPr>
                <w:sz w:val="20"/>
                <w:color w:val="392c69"/>
              </w:rPr>
              <w:t xml:space="preserve">, от 06.02.2018 </w:t>
            </w:r>
            <w:hyperlink w:history="0" r:id="rId16" w:tooltip="Приказ министерства природных ресурсов и экологии Саратовской области от 06.02.2018 N 61 &quot;О внесении изменений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N 61</w:t>
              </w:r>
            </w:hyperlink>
            <w:r>
              <w:rPr>
                <w:sz w:val="20"/>
                <w:color w:val="392c69"/>
              </w:rPr>
              <w:t xml:space="preserve">, от 05.06.2018 </w:t>
            </w:r>
            <w:hyperlink w:history="0" r:id="rId17" w:tooltip="Приказ министерства природных ресурсов и экологии Саратовской области от 05.06.2018 N 365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24.01.2019 </w:t>
            </w:r>
            <w:hyperlink w:history="0" r:id="rId18" w:tooltip="Приказ министерства природных ресурсов и экологии Саратовской области от 24.01.2019 N 70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 от 16.04.2020 </w:t>
            </w:r>
            <w:hyperlink w:history="0" r:id="rId19" w:tooltip="Приказ министерства природных ресурсов и экологии Саратовской области от 16.04.2020 N 196 &quot;О внесении изменений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N 196</w:t>
              </w:r>
            </w:hyperlink>
            <w:r>
              <w:rPr>
                <w:sz w:val="20"/>
                <w:color w:val="392c69"/>
              </w:rPr>
              <w:t xml:space="preserve">, от 17.07.2020 </w:t>
            </w:r>
            <w:hyperlink w:history="0" r:id="rId20" w:tooltip="Приказ министерства природных ресурсов и экологии Саратовской области от 17.07.2020 N 349 &quot;О внесении изменений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N 349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30.06.2021 </w:t>
            </w:r>
            <w:hyperlink w:history="0" r:id="rId21" w:tooltip="Приказ министерства природных ресурсов и экологии Саратовской области от 30.06.2021 N 283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283</w:t>
              </w:r>
            </w:hyperlink>
            <w:r>
              <w:rPr>
                <w:sz w:val="20"/>
                <w:color w:val="392c69"/>
              </w:rPr>
              <w:t xml:space="preserve">, от 23.09.2021 </w:t>
            </w:r>
            <w:hyperlink w:history="0" r:id="rId22" w:tooltip="Приказ министерства природных ресурсов и экологии Саратовской области от 23.09.2021 N 438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438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23" w:tooltip="Приказ министерства природных ресурсов и экологии Саратовской области от 16.05.2023 N 262 &quot;О внесении изменений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N 262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14.04.2025 </w:t>
            </w:r>
            <w:hyperlink w:history="0" r:id="rId24" w:tooltip="Приказ министерства природных ресурсов и экологии Саратовской области от 14.04.2025 N 15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 от 24.06.2025 </w:t>
            </w:r>
            <w:hyperlink w:history="0" r:id="rId25" w:tooltip="Приказ министерства природных ресурсов и экологии Саратовской области от 24.06.2025 N 34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347</w:t>
              </w:r>
            </w:hyperlink>
            <w:r>
              <w:rPr>
                <w:sz w:val="20"/>
                <w:color w:val="392c69"/>
              </w:rPr>
              <w:t xml:space="preserve">, от 01.06.2026 </w:t>
            </w:r>
            <w:hyperlink w:history="0" r:id="rId26" w:tooltip="Приказ министерства природных ресурсов и экологии Саратовской области от 01.06.2026 N 257 &quot;О внесении изменения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N 257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27" w:tooltip="Постановление Правительства Саратовской области от 10.06.2013 N 286-П &quot;О реорганизации некоторых органов исполнительной власти Саратов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10 июня 2013 г. N 286-П "О реорганизации некоторых органов исполнительной власти Саратовской области", </w:t>
      </w:r>
      <w:hyperlink w:history="0" r:id="rId28" w:tooltip="Постановление Правительства Саратовской области от 08.10.2013 N 537-П (ред. от 17.06.2026) &quot;Вопросы министерства природных ресурсов и экологии Саратовской области&quot; (вместе с &quot;Положением о министерстве природных ресурсов и экологии Саратовской области&quot;, &quot;Перечнем юридических лиц, подведомственных министерству природных ресурсов и экологии Саратовской области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8 октября 2013 г. N 537-П "Вопросы министерства природных ресурсов и экологии Саратовской области"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41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природных ресурсов и экологии Саратовской области по предоставлению государственной услуги по проведению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9" w:tooltip="Приказ министерства природных ресурсов и экологии Саратовской области от 16.04.2020 N 196 &quot;О внесении изменений в приказ министерства природных ресурсов и экологии Саратовской области от 17 июня 2014 года N 28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16.04.2020 N 196)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30" w:tooltip="Приказ комитета охраны окружающей среды и природопользования Саратовской области от 04.10.2013 N 1017 &quot;Об утверждении Административного регламента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4 октября 2013 г. N 1017 "Об утверждении административного регламента".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силу. - </w:t>
      </w:r>
      <w:hyperlink w:history="0" r:id="rId31" w:tooltip="Приказ министерства природных ресурсов и экологии Саратовской области от 12.10.2016 N 749 &quot;О внесении изменений в приказ министерства природных ресурсов и экологии Саратовской области от 17 июня 2014 года N 281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Саратовской области от 12.10.2016 N 749.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32" w:tooltip="Приказ министерства природных ресурсов и экологии Саратовской области от 12.10.2016 N 749 &quot;О внесении изменений в приказ министерства природных ресурсов и экологии Саратовской области от 17 июня 2014 года N 281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12.10.2016 N 749)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И.Н.ПОТАПОВ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природных ресурсов и экологии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от 17 июня 2014 г. N 281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"ПРОВЕДЕНИЕ</w:t>
      </w:r>
    </w:p>
    <w:p>
      <w:pPr>
        <w:pStyle w:val="2"/>
        <w:jc w:val="center"/>
      </w:pPr>
      <w:r>
        <w:rPr>
          <w:sz w:val="20"/>
        </w:rPr>
        <w:t xml:space="preserve">ГОСУДАРСТВЕННОЙ ЭКСПЕРТИЗЫ ЗАПАСОВ ПОЛЕЗНЫХ ИСКОПАЕМЫХ</w:t>
      </w:r>
    </w:p>
    <w:p>
      <w:pPr>
        <w:pStyle w:val="2"/>
        <w:jc w:val="center"/>
      </w:pPr>
      <w:r>
        <w:rPr>
          <w:sz w:val="20"/>
        </w:rPr>
        <w:t xml:space="preserve">И ПОДЗЕМНЫХ ВОД, ГЕОЛОГИЧЕСКОЙ ИНФОРМАЦИИ О ПРЕДОСТАВЛЯЕМЫХ</w:t>
      </w:r>
    </w:p>
    <w:p>
      <w:pPr>
        <w:pStyle w:val="2"/>
        <w:jc w:val="center"/>
      </w:pPr>
      <w:r>
        <w:rPr>
          <w:sz w:val="20"/>
        </w:rPr>
        <w:t xml:space="preserve">В ПОЛЬЗОВАНИЕ УЧАСТКАХ НЕДР МЕСТНОГО ЗНАЧЕНИЯ, А ТАКЖЕ</w:t>
      </w:r>
    </w:p>
    <w:p>
      <w:pPr>
        <w:pStyle w:val="2"/>
        <w:jc w:val="center"/>
      </w:pPr>
      <w:r>
        <w:rPr>
          <w:sz w:val="20"/>
        </w:rPr>
        <w:t xml:space="preserve">ЗАПАСОВ ОБЩЕРАСПРОСТРАНЕННЫХ ПОЛЕЗНЫХ ИСКОПАЕМЫХ И ЗАПАСОВ</w:t>
      </w:r>
    </w:p>
    <w:p>
      <w:pPr>
        <w:pStyle w:val="2"/>
        <w:jc w:val="center"/>
      </w:pPr>
      <w:r>
        <w:rPr>
          <w:sz w:val="20"/>
        </w:rPr>
        <w:t xml:space="preserve">ПОДЗЕМНЫХ ВОД, КОТОРЫЕ ИСПОЛЬЗУЮТСЯ ДЛЯ ЦЕЛЕЙ ПИТЬЕВОГО</w:t>
      </w:r>
    </w:p>
    <w:p>
      <w:pPr>
        <w:pStyle w:val="2"/>
        <w:jc w:val="center"/>
      </w:pPr>
      <w:r>
        <w:rPr>
          <w:sz w:val="20"/>
        </w:rPr>
        <w:t xml:space="preserve">ВОДОСНАБЖЕНИЯ ИЛИ ТЕХНИЧЕСКОГО ВОДОСНАБЖЕНИЯ И ОБЪЕМ ДОБЫЧИ</w:t>
      </w:r>
    </w:p>
    <w:p>
      <w:pPr>
        <w:pStyle w:val="2"/>
        <w:jc w:val="center"/>
      </w:pPr>
      <w:r>
        <w:rPr>
          <w:sz w:val="20"/>
        </w:rPr>
        <w:t xml:space="preserve">КОТОРЫХ СОСТАВЛЯЕТ НЕ БОЛЕЕ 500 КУБИЧЕСКИХ МЕТРОВ В СУТКИ"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3" w:tooltip="Приказ министерства природных ресурсов и экологии Саратовской области от 01.06.2026 N 257 &quot;О внесении изменения в приказ министерства природных ресурсов и экологии Саратовской области от 17 июня 2014 года N 281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01.06.2026 N 257)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Административный регламент предоставления министерством природных ресурсов и экологии Саратовской области государственной услуги "Проведение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"устанавливает порядок и стандарт предоставления государственной услуги по проведению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 (далее именуются соответственно - административный регламент, министерство, государственная услуга, государственная экспертиза).</w:t>
      </w:r>
    </w:p>
    <w:p>
      <w:pPr>
        <w:pStyle w:val="0"/>
        <w:spacing w:before="200" w:lineRule="auto"/>
        <w:ind w:firstLine="540"/>
        <w:jc w:val="both"/>
      </w:pPr>
      <w:hyperlink w:history="0" w:anchor="P228" w:tooltip="1. Перечень условных обозначений и сокращений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условных обозначений и сокращений приведен в приложении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на предоставление государственной услуги являются юридические лица и индивидуальные предприниматели (пользователи недр), а также их уполномоченные представители (далее именуются соответственно - заявитель, представитель заявителя).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1.3. Требование предоставления заявителю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в соответствии с категориями (признаками) заявителя,</w:t>
      </w:r>
    </w:p>
    <w:p>
      <w:pPr>
        <w:pStyle w:val="2"/>
        <w:jc w:val="center"/>
      </w:pPr>
      <w:r>
        <w:rPr>
          <w:sz w:val="20"/>
        </w:rPr>
        <w:t xml:space="preserve">сведения о которых размещаются в федеральной государственной</w:t>
      </w:r>
    </w:p>
    <w:p>
      <w:pPr>
        <w:pStyle w:val="2"/>
        <w:jc w:val="center"/>
      </w:pPr>
      <w:r>
        <w:rPr>
          <w:sz w:val="20"/>
        </w:rPr>
        <w:t xml:space="preserve">информационной системе "Федеральный реестр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(функций)" и в федеральной</w:t>
      </w:r>
    </w:p>
    <w:p>
      <w:pPr>
        <w:pStyle w:val="2"/>
        <w:jc w:val="center"/>
      </w:pPr>
      <w:r>
        <w:rPr>
          <w:sz w:val="20"/>
        </w:rPr>
        <w:t xml:space="preserve">государственной информационной системе "Единый портал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Информация о порядке предоставления государственной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(функций)" (далее - реестр услуг и Единый портал соответственно).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услуга должна быть предоставлена заявителю в соответствии с категориями (признаками) заявителей, сведения о которых размещаются на Едином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Категории (признаки) заявителя определяются путем профилирования заявителя посредством его анкетирования в соответствии с вопросами, приведенными в </w:t>
      </w:r>
      <w:hyperlink w:history="0" w:anchor="P293" w:tooltip="2. Профилирование заявителя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2.2. Наименование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предоставляется министерством природных ресурсов и экологии Саратовской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Результатами предоставления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заключение государственной экспертизы запасов полезных ископаемых и подземных вод, которое является основанием для постановки запасов полезных ископаемых и подземных вод на государственный баланс и их списания с государственного баланса (далее - заключение государственной экспертизы);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заключение государственной экспертизы геологической информации о предоставляемых в пользование участках недр (далее - заключение государственной экспертизы).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Формирование реестровой записи по результатам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Перечень способов получения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Заключение государственной экспертизы направляется заявителю (представителю заявителя) в форме электронного документа через личный кабинет недропользователя на официальном сайте Федерального агентства по недропользованию в сети "Интернет" (далее - Личный кабинет недропользователя, ЛКН) при наличии такой технической возможности или в форме электронного документа по адресу электронной почты, указанной в заявлении о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2.4.1. Срок проверки комплектности заявления и прилагаемых к нему документов - 3 рабочих дня с даты регистрации заявления в министерстве. Некомплектные заявление и прилагаемые к нему документы и материалы возвращаются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2.4.2. Срок создания экспертной комиссии - 3 рабочих дня с даты окончания проверки комплектности заявления и прилагаемых к нему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2.4.3. Срок проведения государственной экспертизы в части участков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куб. метров в сутки, определяется в зависимости от трудоемкости экспертных работ и объема материалов, но не должен превышать 20 рабочих дней с даты создания экспертной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необходимости министерство вправе запросить дополнительную информацию, уточняющую документы и материалы, представленные заявителем. При этом срок проведения экспертизы может быть продлен, но не более чем на 20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государственной экспертизы запасов излагаются в заключении, которое подготавливается и подписывается членами экспертной комиссии и в течение 5 рабочих дней с даты подписания утверждается руководителем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предоставления государственной услуги не может превышать - 36 рабочих дней со дня регистрации заявления и документов, необходимых для предоставления государственной услуги, в случае запроса дополнительных сведений общий срок не может превышать 56 рабочих дней.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2.5. 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2.5.1. За проведение государственной экспертизы устанавливается плата в размере согласно </w:t>
      </w:r>
      <w:hyperlink w:history="0" r:id="rId34" w:tooltip="Постановление Правительства РФ от 01.03.2023 N 335 &quot;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&quot; (вместе с &quot;Правилам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определения размера и порядка взимания платы за ее проведение&quot;) {КонсультантПлюс}">
        <w:r>
          <w:rPr>
            <w:sz w:val="20"/>
            <w:color w:val="0000ff"/>
          </w:rPr>
          <w:t xml:space="preserve">приложению N 1</w:t>
        </w:r>
      </w:hyperlink>
      <w:r>
        <w:rPr>
          <w:sz w:val="20"/>
        </w:rPr>
        <w:t xml:space="preserve"> к Правилам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определения размера и порядка взимания платы за ее проведение, утвержденных постановление Правительства Российской Федерации от 1 марта 2023 года N 335 "О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проведение" (далее - Правила N 335).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Категории месторождений по величине (объемам) запасов полезных ископаемых и подземных вод для определения размера платы за проведение государственной экспертизы устанавливаются согласно </w:t>
      </w:r>
      <w:hyperlink w:history="0" r:id="rId35" w:tooltip="Постановление Правительства РФ от 01.03.2023 N 335 &quot;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&quot; (вместе с &quot;Правилам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определения размера и порядка взимания платы за ее проведение&quot;) {КонсультантПлюс}">
        <w:r>
          <w:rPr>
            <w:sz w:val="20"/>
            <w:color w:val="0000ff"/>
          </w:rPr>
          <w:t xml:space="preserve">приложению N 2</w:t>
        </w:r>
      </w:hyperlink>
      <w:r>
        <w:rPr>
          <w:sz w:val="20"/>
        </w:rPr>
        <w:t xml:space="preserve"> к Правилам N 335.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 Плата за проведение государственной экспертизы вносится заявителем перед представлением заявления и прилагаемых к нему документов и материалов для проведения государственной экспертизы запасов и поступает в доход бюджета Саратовской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Реквизиты для внесения платы за проведение государственной экспертизы запасов приведены в </w:t>
      </w:r>
      <w:hyperlink w:history="0" w:anchor="P463" w:tooltip="7. Реквизиты для внесения платы за проведение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2.6. 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заявителем заявления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при получении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заявления и при получении результата предоставления государственной услуги составляет не более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государственной услуги составляет пять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2.7. Срок регистрации заявления заявителя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Заявление и документы и (или) необходимые для предоставления государственной услуги (далее - материалы) регистрируются в день их поступления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Заявление, поступившее в министерство в электронной форме после окончания рабочего дня либо в выходной день, регистрируется не позднее следующего рабочего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приема заявления считается дата его регистрации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заявления, поступившего в нерабочее время, начинается на следующий рабочий день.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2.8. 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Требования, которым должны соответствовать помещения, в которых предоставляется государственная услуга, размещены на официальном сайте министерства по адресу: </w:t>
      </w:r>
      <w:hyperlink w:history="0" r:id="rId36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37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помещении министерства для приема документов, необходимых для предоставления государственной услуги, оборудован информационный стенд с нормативными правовыми актами, регламентирующими порядок предоставления государственной услуги, а также размещена информация о необходимых документах, сроках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2.9. Показатели доступности и качества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показателей качества и доступности государственной услуги размещен на официальном сайте министерства по адресу: </w:t>
      </w:r>
      <w:hyperlink w:history="0" r:id="rId38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39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2.10. Иные требования к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 в многофункциональных</w:t>
      </w:r>
    </w:p>
    <w:p>
      <w:pPr>
        <w:pStyle w:val="2"/>
        <w:jc w:val="center"/>
      </w:pPr>
      <w:r>
        <w:rPr>
          <w:sz w:val="20"/>
        </w:rPr>
        <w:t xml:space="preserve">центрах и особенности предоставления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 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2.10.1 Услуги, которые являются необходимыми и обязательными для предоставления государственной услуги, действующим законодательством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2.10.2. Перечень информационных систем, используемых для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РСМЭВ;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ФГИС "ЕФГИ";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ФГИС "АСЛН";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государственная информационная система ведения Единого государственного реестра недвижимости (ФГИС ЕГРН);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государственный реестр юридических лиц (ЕГРЮЛ);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Единый государственный реестр индивидуальных предпринимателей (ЕГРИП).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2.10.3. Заявление не может быть подано в МФЦ.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не может быть выдан в МФЦ.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2.11.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 приведен в </w:t>
      </w:r>
      <w:hyperlink w:history="0" w:anchor="P319" w:tooltip="4. Исчерпывающий перечень документов, необходимых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2.11.2. Перечень способов подачи заявления о предоставлении государственной услуги и документов приведен в </w:t>
      </w:r>
      <w:hyperlink w:history="0" w:anchor="P425" w:tooltip="                              Форма заявления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2.12.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исчерпывающий перечень оснований</w:t>
      </w:r>
    </w:p>
    <w:p>
      <w:pPr>
        <w:pStyle w:val="2"/>
        <w:jc w:val="center"/>
      </w:pPr>
      <w:r>
        <w:rPr>
          <w:sz w:val="20"/>
        </w:rPr>
        <w:t xml:space="preserve">для 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или для отказа 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Исчерпывающий перечень оснований для отказа в приеме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в приеме заявления и документов,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нарушение требований </w:t>
      </w:r>
      <w:hyperlink w:history="0" r:id="rId40" w:tooltip="&quot;Уголовный кодекс Российской Федерации&quot; от 13.06.1996 N 63-ФЗ (ред. от 10.06.2026, с изм. от 29.06.2026) {КонсультантПлюс}">
        <w:r>
          <w:rPr>
            <w:sz w:val="20"/>
            <w:color w:val="0000ff"/>
          </w:rPr>
          <w:t xml:space="preserve">статьи 11</w:t>
        </w:r>
      </w:hyperlink>
      <w:r>
        <w:rPr>
          <w:sz w:val="20"/>
        </w:rPr>
        <w:t xml:space="preserve"> Федерального закона N 63-ФЗ при использовании заявителем усиленной квалифицированной электронной подписи (для документов, направленных в электронном виде посредством ЛКН или Единого портала);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установления некомплектности представленных документов и сведений и несоответствия описи;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обращения от имени заявителя не уполномоченного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если поданное на бумажном носителе заявление не скреплено печатью заявителя (при наличии) (для юридического лица) и не подписана заявителем, либо уполномоченным руководителем заявителя лицом;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 поступления на дату подачи заявления платы за проведение государственной экспертизы запасов;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заявления и прилагаемых к нему документов и материалов лично или почтовым отправлением заявление и прилагаемые к нему документы и материалы представлены на бумажном носителе без приложения их электронных копий на электронном носителе (оптический диск CD или диск DVD, внешний USB-накопитель).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отказе в приеме заявления и документов оформляется в письменной форме с указанием оснований для отказа и направляется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повторно обратиться с заявлением после устранения нарушения, которое послужило основанием для отказа в приеме к рассмотрению первичного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Исчерпывающий перечень оснований для приостановления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Приостановление срока предоставления государственной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Исчерпывающий перечень оснований для отказа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в предоставлении государственной услуги не предусмотрен.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2.12.4. Основания для отказа в приеме заявления и документов, и исчерпывающий </w:t>
      </w:r>
      <w:hyperlink w:history="0" w:anchor="P385" w:tooltip="5. Исчерпывающий перечень оснований для отказа в приеме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оснований для приостановления предоставления государственной услуги или для отказа в предоставлении государственной услуги с учетом категории (признаков) заявителя приведены в приложении к административному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3.1. Перечень осуществляемых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следующие административные процедуры: 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заявления и документов и (или) информации,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межведомственное информационное взаимодействие;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дополнительных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принятия решения о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результата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Информирование заявителя об изменении статуса рассмотрения Заявления о предоставлении государственной услуги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направления уведомлений в личный кабинет заявителя на ЕПГУ в соответствии с </w:t>
      </w:r>
      <w:hyperlink w:history="0" r:id="rId41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3.1 статьи 21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телефонной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 личном обращении в министерство;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электронной почты, указанной в заявлении.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0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ОСНОВАНИЙ ДЛЯ ПРИОСТАНОВЛЕНИЯ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ИЛИ ОТКАЗА В ПРЕДОСТАВЛЕНИИ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ФОРМЫ 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228" w:name="P228"/>
    <w:bookmarkEnd w:id="228"/>
    <w:p>
      <w:pPr>
        <w:pStyle w:val="2"/>
        <w:outlineLvl w:val="2"/>
        <w:jc w:val="center"/>
      </w:pPr>
      <w:r>
        <w:rPr>
          <w:sz w:val="20"/>
        </w:rPr>
        <w:t xml:space="preserve">1. Перечень условных обозначений и сокращений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Условные сокращения: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Административный регламент - Административный регламент предоставления министерством природных ресурсов и экологии Саратовской области государственной услуги "Проведение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министерство - министерство природных ресурсов и экологии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государственная услуга - государственная услуга "Проведение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ПодС - подземные сооружения, не связанные с добычей полезных ископаемых;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РСМЭВ - система межведомственного электронного взаимодействия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заявитель, представитель заявителя - пользователи недр (юридические лица и индивидуальные предприниматели), а также их уполномоченные представители;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заявление - запрос о предоставлении государственной услуги; заявление о проведении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МФЦ - многофункциональный центр предоставления государственных и муниципальных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Федеральный закон N 63-ФЗ - Федеральный </w:t>
      </w:r>
      <w:hyperlink w:history="0" r:id="rId42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6 апреля 2011 года N 63-ФЗ "Об электронной подписи";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документы, материалы - документы и (или) сведения (информация), прилагаемые к заявлению (заявке), необходимые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ПВ - подземные воды;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Закон о недрах - </w:t>
      </w:r>
      <w:hyperlink w:history="0" r:id="rId43" w:tooltip="Закон РФ от 21.02.1992 N 2395-1 (ред. от 08.03.2026) &quot;О недрах&quot; (с изм. и доп., вступ. в силу с 01.07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Российской Федерации от 21 февраля 1992 года N 2395-1 "О недрах";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ФГИС "ЕФГИ" - Федеральная государственная информационная система "Единый фонд геологической информации о недрах";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п) ФГИС "АСЛН" - Федеральная государственная информационная система "Автоматизированная система лицензирования недропользования";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р) Правила N 335 - </w:t>
      </w:r>
      <w:hyperlink w:history="0" r:id="rId44" w:tooltip="Постановление Правительства РФ от 01.03.2023 N 335 &quot;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&quot; (вместе с &quot;Правилам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определения размера и порядка взимания платы за ее проведение&quot;) {КонсультантПлюс}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определения размера и порядка взимания платы за ее проведение, утвержденных постановление Правительства Российской Федерации от 1 марта 2023 года N 335 "О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с) Личный кабинет недропользователя или ЛКН - "Личный кабинет недропользователя" на официальном сайте Федерального агентства по недропользованию в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Условные обозначения: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[Все] - документы предоставляются всеми заявителями, обратившимися за получением;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П(з) - представитель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Единый портал - документы подаются посредством Единого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МФЦ - многофункциональный центр предоставления государственных и муниципальных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УОВ - уполномоченный орган власти - министерство природных ресурсов и экологии Саратовской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ПС - документы подаются посредством почтовой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ЭП - документы подаются посредством электронной почты;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О - представляется оригинал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О(э) - представляется оригинал документа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К(д) - представляется копия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К(э) - представляется копия документа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Д(1) - документы представляются в одном экземпляре;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Федеральный закон N 63-ФЗ - Федеральный </w:t>
      </w:r>
      <w:hyperlink w:history="0" r:id="rId45" w:tooltip="Федеральный закон от 06.04.2011 N 63-ФЗ (ред. от 31.07.2025) &quot;Об электронной подпис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6 апреля 2011 года N 63-ФЗ "Об электронной подписи";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о) ЛКН - "Личный кабинет недропользователя" на официальном сайте Федерального агентства по недропользованию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п) Объекты государственной экспертизы: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7540"/>
        <w:gridCol w:w="90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запасы полезных ископаемых и подземных вод (за исключением запасов подземных вод на участках недр, предоставляемых для добычи подземных вод, которые используются для целей питьевого или технического водоснабжения и объем добычи которых составляет не более 100 куб. метров в сутки, а также за исключением добычи трудноизвлекаемых полезных ископаемых в процессе разработки технологий геологического изучения, разведки и добычи трудноизвлекаемых полезных ископаемых)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геологическая информация о предоставляемых в пользование участках недр, а также геологическая информация об участках недр, пригодных для строительства и эксплуатации подземных сооружений, не связанных с добычей полезных ископаемых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  <w:r>
              <w:rPr>
                <w:sz w:val="20"/>
                <w:vertAlign w:val="subscript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р) Государственная экспертиза осуществляется путем проведения анализа документов и материалов по: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7540"/>
        <w:gridCol w:w="90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подсчету запасов полезных ископаемых и подземных вод всех вовлекаемых в освоение и разрабатываемых месторождений вне зависимости от вида, количества, качества и направления использования полезных ископаемых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технико-экономическому обоснованию кондиций для подсчета запасов полезных ископаемых в недрах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оперативному изменению состояния запасов полезных ископаемых и подземных вод по результатам геологоразведочных работ и переоценки этих запасов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геологической информации об участках недр, пригодных для строительства и эксплуатации подземных сооружений, не связанных с добычей полезных ископаемых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подсчету запасов полезных ископаемых и подземных вод выявленных месторождений полезных ископаемых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7540" w:type="dxa"/>
          </w:tcPr>
          <w:p>
            <w:pPr>
              <w:pStyle w:val="0"/>
            </w:pPr>
            <w:r>
              <w:rPr>
                <w:sz w:val="20"/>
              </w:rPr>
              <w:t xml:space="preserve">списанию запасов полезных ископаемых и подземных вод с государственного баланса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293" w:name="P293"/>
    <w:bookmarkEnd w:id="293"/>
    <w:p>
      <w:pPr>
        <w:pStyle w:val="2"/>
        <w:outlineLvl w:val="2"/>
        <w:jc w:val="center"/>
      </w:pPr>
      <w:r>
        <w:rPr>
          <w:sz w:val="20"/>
        </w:rPr>
        <w:t xml:space="preserve">2. Профилирование заявителя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65"/>
        <w:gridCol w:w="4706"/>
      </w:tblGrid>
      <w:tr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Вопросы анкетирования заявителя</w:t>
            </w:r>
          </w:p>
        </w:tc>
        <w:tc>
          <w:tcPr>
            <w:tcW w:w="4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Варианты ответов</w:t>
            </w:r>
          </w:p>
        </w:tc>
      </w:tr>
      <w:tr>
        <w:tc>
          <w:tcPr>
            <w:tcW w:w="4365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заявителя?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  <w:t xml:space="preserve">1. 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2. Юридическое лицо</w:t>
            </w:r>
          </w:p>
        </w:tc>
      </w:tr>
      <w:tr>
        <w:tc>
          <w:tcPr>
            <w:tcW w:w="4365" w:type="dxa"/>
          </w:tcPr>
          <w:p>
            <w:pPr>
              <w:pStyle w:val="0"/>
            </w:pPr>
            <w:r>
              <w:rPr>
                <w:sz w:val="20"/>
              </w:rPr>
              <w:t xml:space="preserve">Каким образом обратился заявитель?</w:t>
            </w:r>
          </w:p>
        </w:tc>
        <w:tc>
          <w:tcPr>
            <w:tcW w:w="4706" w:type="dxa"/>
          </w:tcPr>
          <w:p>
            <w:pPr>
              <w:pStyle w:val="0"/>
            </w:pPr>
            <w:r>
              <w:rPr>
                <w:sz w:val="20"/>
              </w:rPr>
              <w:t xml:space="preserve">1. Обратился лично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через представителя заявителя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 Идентификаторы категорий (признаков)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45"/>
        <w:gridCol w:w="3628"/>
        <w:gridCol w:w="2041"/>
      </w:tblGrid>
      <w:tr>
        <w:tc>
          <w:tcPr>
            <w:tcW w:w="334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обращения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категории (признака) заявителя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категории (признака) заявителя</w:t>
            </w:r>
          </w:p>
        </w:tc>
      </w:tr>
      <w:tr>
        <w:tc>
          <w:tcPr>
            <w:tcW w:w="3345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 "Проведение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сутки"</w:t>
            </w:r>
          </w:p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Индивидуальный предприниматель, обратившийся за предоставлением результата оказания государственной услуги по проведению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сутки, самостоятельно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</w:t>
            </w:r>
          </w:p>
        </w:tc>
      </w:tr>
      <w:tr>
        <w:tc>
          <w:tcPr>
            <w:vMerge w:val="continue"/>
          </w:tcPr>
          <w:p/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Индивидуальный предприниматель, обратившийся за предоставлением результата оказания государственной услуги по проведению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сутки, через представителя по доверенности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</w:t>
            </w:r>
          </w:p>
        </w:tc>
      </w:tr>
      <w:tr>
        <w:tc>
          <w:tcPr>
            <w:vMerge w:val="continue"/>
          </w:tcPr>
          <w:p/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Юридическое лицо, обратившееся за предоставлением результата оказания государственной услуги по проведению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сутки, от имени лица, имеющего право действовать без доверенности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</w:t>
            </w:r>
          </w:p>
        </w:tc>
      </w:tr>
      <w:tr>
        <w:tc>
          <w:tcPr>
            <w:vMerge w:val="continue"/>
          </w:tcPr>
          <w:p/>
        </w:tc>
        <w:tc>
          <w:tcPr>
            <w:tcW w:w="362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Юридическое лицо, обратившееся за предоставлением результата оказания государственной услуги по проведению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сутки, от имени лица, действующего на основании доверенности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319" w:name="P319"/>
    <w:bookmarkEnd w:id="319"/>
    <w:p>
      <w:pPr>
        <w:pStyle w:val="2"/>
        <w:outlineLvl w:val="2"/>
        <w:jc w:val="center"/>
      </w:pPr>
      <w:r>
        <w:rPr>
          <w:sz w:val="20"/>
        </w:rPr>
        <w:t xml:space="preserve">4.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3458"/>
        <w:gridCol w:w="3473"/>
        <w:gridCol w:w="3402"/>
        <w:gridCol w:w="2438"/>
      </w:tblGrid>
      <w:tr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Идентификаторы категорий (признаков) заявителей</w:t>
            </w:r>
          </w:p>
        </w:tc>
        <w:tc>
          <w:tcPr>
            <w:tcW w:w="347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Способы подачи документов, требования к предоставлению документов</w:t>
            </w:r>
          </w:p>
        </w:tc>
        <w:tc>
          <w:tcPr>
            <w:tcW w:w="243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Иные требования</w:t>
            </w:r>
          </w:p>
        </w:tc>
      </w:tr>
      <w:tr>
        <w:tc>
          <w:tcPr>
            <w:gridSpan w:val="5"/>
            <w:tcW w:w="13565" w:type="dxa"/>
          </w:tcPr>
          <w:p>
            <w:pPr>
              <w:pStyle w:val="0"/>
              <w:outlineLvl w:val="3"/>
              <w:jc w:val="both"/>
            </w:pPr>
            <w:r>
              <w:rPr>
                <w:sz w:val="20"/>
              </w:rPr>
              <w:t xml:space="preserve">1.1.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сутки, которые заявитель должен представить самостоятельно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на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О(э) - ЛКН, Единый портал, О,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документы и материалы, прилагаемые к заявлению, подготовленные в соответствии с требованиями, указанными в </w:t>
            </w:r>
            <w:hyperlink w:history="0" r:id="rId48" w:tooltip="Постановление Правительства РФ от 01.03.2023 N 335 &quot;О государственной экспертизе запасов полезных ископаемых и подземных вод, геологической информации о предоставляемых в пользование участках недр, об определении размера и порядка взимания платы за ее проведение&quot; (вместе с &quot;Правилам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, определения размера и порядка взимания платы за ее проведение&quot;) {КонсультантПлюс}">
              <w:r>
                <w:rPr>
                  <w:sz w:val="20"/>
                  <w:color w:val="0000ff"/>
                </w:rPr>
                <w:t xml:space="preserve">пункте 14</w:t>
              </w:r>
            </w:hyperlink>
            <w:r>
              <w:rPr>
                <w:sz w:val="20"/>
              </w:rPr>
              <w:t xml:space="preserve"> Правил N 335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О(э) - ЛКН, Единый портал, О,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 (далее именуется - руководитель заявителя). В случае, если от имени заявителя действует иное лицо, заявка должна содержать также доверенность на осуществление действий от имени заявителя, заверенную печатью заявителя (при наличии) и подписанную лицом, обладающим правом действовать от имени заявителя без доверенности (для юридического лица) или иным уполномоченным руководителем заявителя лицом. В случае, если указанная доверенность подписана лицом, уполномоченным руководителем заявителя, заявка должна содержать также документ, подтверждающий полномочия этого лица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1.1.4.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А, Б,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заявителя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О-УОВ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1.1.5.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В,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Документ, удостоверяющий личность представителя заявителя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О-УОВ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П(з), Д(1)</w:t>
            </w:r>
          </w:p>
        </w:tc>
      </w:tr>
      <w:tr>
        <w:tc>
          <w:tcPr>
            <w:gridSpan w:val="5"/>
            <w:tcW w:w="13565" w:type="dxa"/>
          </w:tcPr>
          <w:p>
            <w:pPr>
              <w:pStyle w:val="0"/>
              <w:outlineLvl w:val="3"/>
              <w:jc w:val="both"/>
            </w:pPr>
            <w:r>
              <w:rPr>
                <w:sz w:val="20"/>
              </w:rPr>
              <w:t xml:space="preserve">1.2.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в части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В,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заявителе - юридическом лице, содержащиеся ЕГРЮЛ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1.2.2.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А, Б,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 заявителе - юридическом лице, содержащиеся ЕГРИП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1.2.3.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Выписка из ЕГРН об объекте недвижимости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1.2.4.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Геологическая информация об участке недр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1.2.5.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А2 - Е2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Лицензия на пользование недрами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1.2.6.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 - Г, А1, Б1, А2, В2</w:t>
            </w:r>
          </w:p>
        </w:tc>
        <w:tc>
          <w:tcPr>
            <w:tcW w:w="3473" w:type="dxa"/>
          </w:tcPr>
          <w:p>
            <w:pPr>
              <w:pStyle w:val="0"/>
            </w:pPr>
            <w:r>
              <w:rPr>
                <w:sz w:val="20"/>
              </w:rPr>
              <w:t xml:space="preserve">Санитарно-эпидемиологическое заключение о соответствии водного объекта санитарным правилам и условиям безопасного для здоровья населения использования водного объекта</w:t>
            </w:r>
          </w:p>
        </w:tc>
        <w:tc>
          <w:tcPr>
            <w:tcW w:w="340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К(э) - ЛКН, Единый портал, К(д), К(э) - ПС, УОВ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[Все], Д(1)</w:t>
            </w:r>
          </w:p>
        </w:tc>
      </w:tr>
    </w:tbl>
    <w:p>
      <w:pPr>
        <w:sectPr>
          <w:headerReference w:type="default" r:id="rId46"/>
          <w:headerReference w:type="first" r:id="rId46"/>
          <w:footerReference w:type="default" r:id="rId47"/>
          <w:footerReference w:type="first" r:id="rId47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bookmarkStart w:id="385" w:name="P385"/>
    <w:bookmarkEnd w:id="385"/>
    <w:p>
      <w:pPr>
        <w:pStyle w:val="2"/>
        <w:outlineLvl w:val="2"/>
        <w:jc w:val="center"/>
      </w:pPr>
      <w:r>
        <w:rPr>
          <w:sz w:val="20"/>
        </w:rPr>
        <w:t xml:space="preserve">5.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5726"/>
        <w:gridCol w:w="2546"/>
      </w:tblGrid>
      <w:tr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572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Перечень оснований</w:t>
            </w:r>
          </w:p>
        </w:tc>
        <w:tc>
          <w:tcPr>
            <w:tcW w:w="254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66" w:type="dxa"/>
          </w:tcPr>
          <w:p>
            <w:pPr>
              <w:pStyle w:val="0"/>
              <w:outlineLvl w:val="3"/>
              <w:jc w:val="both"/>
            </w:pPr>
            <w:r>
              <w:rPr>
                <w:sz w:val="20"/>
              </w:rPr>
              <w:t xml:space="preserve">Исчерпывающий перечень оснований для отказа в приеме заявки и документов, необходимых для предоставления государственной услуги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gridSpan w:val="2"/>
            <w:tcW w:w="827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части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Нарушение требований </w:t>
            </w:r>
            <w:hyperlink w:history="0" r:id="rId49" w:tooltip="&quot;Уголовный кодекс Российской Федерации&quot; от 13.06.1996 N 63-ФЗ (ред. от 10.06.2026, с изм. от 29.06.2026) {КонсультантПлюс}">
              <w:r>
                <w:rPr>
                  <w:sz w:val="20"/>
                  <w:color w:val="0000ff"/>
                </w:rPr>
                <w:t xml:space="preserve">статьи 11</w:t>
              </w:r>
            </w:hyperlink>
            <w:r>
              <w:rPr>
                <w:sz w:val="20"/>
              </w:rPr>
              <w:t xml:space="preserve"> Федерального закона N 63-ФЗ при использовании заявителем усиленной квалифицированной электронной подписи/для документов, направленных в электронном виде посредством ЛКН или Единого портала, либо при предоставлении копий на электронном носителе (оптический диск CD или диск DVD, внешний USB-накопитель) в случае подачи заявления на бумажном носителе/</w:t>
            </w:r>
          </w:p>
        </w:tc>
        <w:tc>
          <w:tcPr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А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Б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А</w:t>
            </w:r>
            <w:r>
              <w:rPr>
                <w:sz w:val="20"/>
                <w:vertAlign w:val="subscript"/>
              </w:rPr>
              <w:t xml:space="preserve">2</w:t>
            </w:r>
            <w:r>
              <w:rPr>
                <w:sz w:val="20"/>
              </w:rPr>
              <w:t xml:space="preserve"> - Е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случае установления некомплектности представленных документов и сведений и несоответствия описи</w:t>
            </w:r>
          </w:p>
        </w:tc>
        <w:tc>
          <w:tcPr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А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Б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А</w:t>
            </w:r>
            <w:r>
              <w:rPr>
                <w:sz w:val="20"/>
                <w:vertAlign w:val="subscript"/>
              </w:rPr>
              <w:t xml:space="preserve">2</w:t>
            </w:r>
            <w:r>
              <w:rPr>
                <w:sz w:val="20"/>
              </w:rPr>
              <w:t xml:space="preserve"> - Е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случае обращения от имени заявителя не уполномоченного лица</w:t>
            </w:r>
          </w:p>
        </w:tc>
        <w:tc>
          <w:tcPr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А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Б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 А</w:t>
            </w:r>
            <w:r>
              <w:rPr>
                <w:sz w:val="20"/>
                <w:vertAlign w:val="subscript"/>
              </w:rPr>
              <w:t xml:space="preserve">2</w:t>
            </w:r>
            <w:r>
              <w:rPr>
                <w:sz w:val="20"/>
              </w:rPr>
              <w:t xml:space="preserve"> - Е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1.1.4.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случае, если поданная на бумажном носителе заявка не скреплена печатью заявителя (при наличии) (для юридического лица) и не подписана заявителем, либо уполномоченным руководителем заявителя лицом</w:t>
            </w:r>
          </w:p>
        </w:tc>
        <w:tc>
          <w:tcPr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А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Б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А</w:t>
            </w:r>
            <w:r>
              <w:rPr>
                <w:sz w:val="20"/>
                <w:vertAlign w:val="subscript"/>
              </w:rPr>
              <w:t xml:space="preserve">2</w:t>
            </w:r>
            <w:r>
              <w:rPr>
                <w:sz w:val="20"/>
              </w:rPr>
              <w:t xml:space="preserve"> - Е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1.1.5.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случае не поступления на дату подачи заявления платы за проведение государственной экспертизы запасов</w:t>
            </w:r>
          </w:p>
        </w:tc>
        <w:tc>
          <w:tcPr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А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Б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А</w:t>
            </w:r>
            <w:r>
              <w:rPr>
                <w:sz w:val="20"/>
                <w:vertAlign w:val="subscript"/>
              </w:rPr>
              <w:t xml:space="preserve">2</w:t>
            </w:r>
            <w:r>
              <w:rPr>
                <w:sz w:val="20"/>
              </w:rPr>
              <w:t xml:space="preserve"> - Е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1.1.6.</w:t>
            </w:r>
          </w:p>
        </w:tc>
        <w:tc>
          <w:tcPr>
            <w:tcW w:w="572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случае представления заявления и прилагаемых к нему документов и материалов лично или почтовым отправлением заявление и прилагаемые к нему документы и материалы представлены на бумажном носителе без приложения их электронных копий на электронном носителе (оптический диск CD или диск DVD, внешний USB-накопитель)</w:t>
            </w:r>
          </w:p>
        </w:tc>
        <w:tc>
          <w:tcPr>
            <w:tcW w:w="25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 - Г, А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Б</w:t>
            </w:r>
            <w:r>
              <w:rPr>
                <w:sz w:val="20"/>
                <w:vertAlign w:val="subscript"/>
              </w:rPr>
              <w:t xml:space="preserve">1</w:t>
            </w:r>
            <w:r>
              <w:rPr>
                <w:sz w:val="20"/>
              </w:rPr>
              <w:t xml:space="preserve">, А</w:t>
            </w:r>
            <w:r>
              <w:rPr>
                <w:sz w:val="20"/>
                <w:vertAlign w:val="subscript"/>
              </w:rPr>
              <w:t xml:space="preserve">2</w:t>
            </w:r>
            <w:r>
              <w:rPr>
                <w:sz w:val="20"/>
              </w:rPr>
              <w:t xml:space="preserve"> - Е</w:t>
            </w:r>
            <w:r>
              <w:rPr>
                <w:sz w:val="20"/>
                <w:vertAlign w:val="subscript"/>
              </w:rPr>
              <w:t xml:space="preserve">2</w:t>
            </w:r>
          </w:p>
        </w:tc>
      </w:tr>
      <w:tr>
        <w:tc>
          <w:tcPr>
            <w:gridSpan w:val="3"/>
            <w:tcW w:w="9066" w:type="dxa"/>
          </w:tcPr>
          <w:p>
            <w:pPr>
              <w:pStyle w:val="0"/>
              <w:outlineLvl w:val="3"/>
              <w:jc w:val="both"/>
            </w:pPr>
            <w:r>
              <w:rPr>
                <w:sz w:val="20"/>
              </w:rPr>
              <w:t xml:space="preserve">Исчерпывающий перечень оснований для приостановления предоставления государственной услуги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</w:t>
            </w:r>
          </w:p>
        </w:tc>
        <w:tc>
          <w:tcPr>
            <w:gridSpan w:val="2"/>
            <w:tcW w:w="827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Приостановление срока предоставления государственной услуги не предусмотрено.</w:t>
            </w:r>
          </w:p>
        </w:tc>
      </w:tr>
      <w:tr>
        <w:tc>
          <w:tcPr>
            <w:gridSpan w:val="3"/>
            <w:tcW w:w="9066" w:type="dxa"/>
          </w:tcPr>
          <w:p>
            <w:pPr>
              <w:pStyle w:val="0"/>
              <w:outlineLvl w:val="3"/>
              <w:jc w:val="both"/>
            </w:pPr>
            <w:r>
              <w:rPr>
                <w:sz w:val="20"/>
              </w:rPr>
              <w:t xml:space="preserve">Исчерпывающий перечень оснований для отказа в предоставлении государственной услуги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1.3.</w:t>
            </w:r>
          </w:p>
        </w:tc>
        <w:tc>
          <w:tcPr>
            <w:gridSpan w:val="2"/>
            <w:tcW w:w="827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Отказ в предоставлении государственной услуги не предусмотрен.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6. Формы заявок и 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425" w:name="P425"/>
    <w:bookmarkEnd w:id="425"/>
    <w:p>
      <w:pPr>
        <w:pStyle w:val="1"/>
        <w:jc w:val="both"/>
      </w:pPr>
      <w:r>
        <w:rPr>
          <w:sz w:val="20"/>
        </w:rPr>
        <w:t xml:space="preserve">                              Форма заявления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В министерство природных ресурсов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и экологии Саратовской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на проведение государственной экспертизы запасов полезных ископаемых</w:t>
      </w:r>
    </w:p>
    <w:p>
      <w:pPr>
        <w:pStyle w:val="1"/>
        <w:jc w:val="both"/>
      </w:pPr>
      <w:r>
        <w:rPr>
          <w:sz w:val="20"/>
        </w:rPr>
        <w:t xml:space="preserve">        и подземных вод, геологической информации о предоставляемых</w:t>
      </w:r>
    </w:p>
    <w:p>
      <w:pPr>
        <w:pStyle w:val="1"/>
        <w:jc w:val="both"/>
      </w:pPr>
      <w:r>
        <w:rPr>
          <w:sz w:val="20"/>
        </w:rPr>
        <w:t xml:space="preserve">               в пользование участках недр местного значения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провести государственную экспертизу документов и материалов по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(указать вид государственной экспертизы)</w:t>
      </w:r>
    </w:p>
    <w:p>
      <w:pPr>
        <w:pStyle w:val="1"/>
        <w:jc w:val="both"/>
      </w:pPr>
      <w:r>
        <w:rPr>
          <w:sz w:val="20"/>
        </w:rPr>
        <w:t xml:space="preserve">к лицензии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(указать реквизиты лицензии на право пользования недрами)</w:t>
      </w:r>
    </w:p>
    <w:p>
      <w:pPr>
        <w:pStyle w:val="1"/>
        <w:jc w:val="both"/>
      </w:pPr>
      <w:r>
        <w:rPr>
          <w:sz w:val="20"/>
        </w:rPr>
        <w:t xml:space="preserve">    Наименование участка недр/месторождения: ______________________________</w:t>
      </w:r>
    </w:p>
    <w:p>
      <w:pPr>
        <w:pStyle w:val="1"/>
        <w:jc w:val="both"/>
      </w:pPr>
      <w:r>
        <w:rPr>
          <w:sz w:val="20"/>
        </w:rPr>
        <w:t xml:space="preserve">    К заявлению прилагаются следующие документы: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Результат рассмотрения заявления прошу выдать (выбрать нужное):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через личный кабинет</w:t>
      </w:r>
    </w:p>
    <w:p>
      <w:pPr>
        <w:pStyle w:val="1"/>
        <w:jc w:val="both"/>
      </w:pPr>
      <w:r>
        <w:rPr>
          <w:sz w:val="20"/>
        </w:rPr>
        <w:t xml:space="preserve">недропользователя   на   официальном   сайте   Федерального   агентства  по</w:t>
      </w:r>
    </w:p>
    <w:p>
      <w:pPr>
        <w:pStyle w:val="1"/>
        <w:jc w:val="both"/>
      </w:pPr>
      <w:r>
        <w:rPr>
          <w:sz w:val="20"/>
        </w:rPr>
        <w:t xml:space="preserve">недропользованию в сети "Интернет"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  <w:t xml:space="preserve">    </w:t>
      </w: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в форме электронного документа по адресу электронной почты: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(подпись заявителя, уполномоченного представителя)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(заявитель)           (подпись)               (инициалы,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М.П.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"__" ________ 20__ г.</w:t>
      </w:r>
    </w:p>
    <w:p>
      <w:pPr>
        <w:pStyle w:val="0"/>
        <w:jc w:val="both"/>
      </w:pPr>
      <w:r>
        <w:rPr>
          <w:sz w:val="20"/>
        </w:rPr>
      </w:r>
    </w:p>
    <w:bookmarkStart w:id="463" w:name="P463"/>
    <w:bookmarkEnd w:id="463"/>
    <w:p>
      <w:pPr>
        <w:pStyle w:val="2"/>
        <w:outlineLvl w:val="2"/>
        <w:jc w:val="center"/>
      </w:pPr>
      <w:r>
        <w:rPr>
          <w:sz w:val="20"/>
        </w:rPr>
        <w:t xml:space="preserve">7. Реквизиты для внесения платы за проведение</w:t>
      </w:r>
    </w:p>
    <w:p>
      <w:pPr>
        <w:pStyle w:val="2"/>
        <w:jc w:val="center"/>
      </w:pPr>
      <w:r>
        <w:rPr>
          <w:sz w:val="20"/>
        </w:rPr>
        <w:t xml:space="preserve">государственной экспертизы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Получатель: УФК по Саратовской области (министерство природных ресурсов и экологии Саратовской области)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ИНН администратора платежа - 6455059390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КПП администратора платежа - 645501001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Номер единого казначейского счета - 40102810845370000052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Казначейский счет для осуществления и отражения операций по учету и распределению поступлений - 03100643000000016000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Лицевой счет администратора доходов бюджета - 04602251460</w:t>
      </w:r>
    </w:p>
    <w:p>
      <w:pPr>
        <w:pStyle w:val="0"/>
        <w:spacing w:before="200" w:lineRule="auto"/>
        <w:ind w:firstLine="540"/>
        <w:jc w:val="both"/>
      </w:pPr>
      <w:hyperlink w:history="0" r:id="rId51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927/2025) {КонсультантПлюс}">
        <w:r>
          <w:rPr>
            <w:sz w:val="20"/>
            <w:color w:val="0000ff"/>
          </w:rPr>
          <w:t xml:space="preserve">ОКТМО</w:t>
        </w:r>
      </w:hyperlink>
      <w:r>
        <w:rPr>
          <w:sz w:val="20"/>
        </w:rPr>
        <w:t xml:space="preserve"> - 63701000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БИК - 016311121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Банк - ОКЦ N 3 Волго-Вятского ГУ Банка России // УФК по Саратовской области г. Саратов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Саратовской области от 17.06.2014 N 281</w:t>
            <w:br/>
            <w:t>(ред. от 01.06.2026)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Саратовской области от 17.06.2014 N 281</w:t>
            <w:br/>
            <w:t>(ред. от 01.06.2026)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58&amp;n=121195&amp;dst=100053" TargetMode = "External"/><Relationship Id="rId9" Type="http://schemas.openxmlformats.org/officeDocument/2006/relationships/hyperlink" Target="https://login.consultant.ru/link/?req=doc&amp;base=RLAW358&amp;n=145361&amp;dst=100056" TargetMode = "External"/><Relationship Id="rId10" Type="http://schemas.openxmlformats.org/officeDocument/2006/relationships/hyperlink" Target="https://login.consultant.ru/link/?req=doc&amp;base=RLAW358&amp;n=145362&amp;dst=100070" TargetMode = "External"/><Relationship Id="rId11" Type="http://schemas.openxmlformats.org/officeDocument/2006/relationships/hyperlink" Target="https://login.consultant.ru/link/?req=doc&amp;base=RLAW358&amp;n=145363&amp;dst=100040" TargetMode = "External"/><Relationship Id="rId12" Type="http://schemas.openxmlformats.org/officeDocument/2006/relationships/hyperlink" Target="https://login.consultant.ru/link/?req=doc&amp;base=RLAW358&amp;n=145364&amp;dst=100033" TargetMode = "External"/><Relationship Id="rId13" Type="http://schemas.openxmlformats.org/officeDocument/2006/relationships/hyperlink" Target="https://login.consultant.ru/link/?req=doc&amp;base=RLAW358&amp;n=121199&amp;dst=100033" TargetMode = "External"/><Relationship Id="rId14" Type="http://schemas.openxmlformats.org/officeDocument/2006/relationships/hyperlink" Target="https://login.consultant.ru/link/?req=doc&amp;base=RLAW358&amp;n=98189&amp;dst=100005" TargetMode = "External"/><Relationship Id="rId15" Type="http://schemas.openxmlformats.org/officeDocument/2006/relationships/hyperlink" Target="https://login.consultant.ru/link/?req=doc&amp;base=RLAW358&amp;n=145365&amp;dst=100040" TargetMode = "External"/><Relationship Id="rId16" Type="http://schemas.openxmlformats.org/officeDocument/2006/relationships/hyperlink" Target="https://login.consultant.ru/link/?req=doc&amp;base=RLAW358&amp;n=110422&amp;dst=100005" TargetMode = "External"/><Relationship Id="rId17" Type="http://schemas.openxmlformats.org/officeDocument/2006/relationships/hyperlink" Target="https://login.consultant.ru/link/?req=doc&amp;base=RLAW358&amp;n=121159&amp;dst=100560" TargetMode = "External"/><Relationship Id="rId18" Type="http://schemas.openxmlformats.org/officeDocument/2006/relationships/hyperlink" Target="https://login.consultant.ru/link/?req=doc&amp;base=RLAW358&amp;n=121160&amp;dst=100166" TargetMode = "External"/><Relationship Id="rId19" Type="http://schemas.openxmlformats.org/officeDocument/2006/relationships/hyperlink" Target="https://login.consultant.ru/link/?req=doc&amp;base=RLAW358&amp;n=129227&amp;dst=100005" TargetMode = "External"/><Relationship Id="rId20" Type="http://schemas.openxmlformats.org/officeDocument/2006/relationships/hyperlink" Target="https://login.consultant.ru/link/?req=doc&amp;base=RLAW358&amp;n=132580&amp;dst=100005" TargetMode = "External"/><Relationship Id="rId21" Type="http://schemas.openxmlformats.org/officeDocument/2006/relationships/hyperlink" Target="https://login.consultant.ru/link/?req=doc&amp;base=RLAW358&amp;n=140837&amp;dst=100080" TargetMode = "External"/><Relationship Id="rId22" Type="http://schemas.openxmlformats.org/officeDocument/2006/relationships/hyperlink" Target="https://login.consultant.ru/link/?req=doc&amp;base=RLAW358&amp;n=143016&amp;dst=100044" TargetMode = "External"/><Relationship Id="rId23" Type="http://schemas.openxmlformats.org/officeDocument/2006/relationships/hyperlink" Target="https://login.consultant.ru/link/?req=doc&amp;base=RLAW358&amp;n=163099&amp;dst=100005" TargetMode = "External"/><Relationship Id="rId24" Type="http://schemas.openxmlformats.org/officeDocument/2006/relationships/hyperlink" Target="https://login.consultant.ru/link/?req=doc&amp;base=RLAW358&amp;n=185558&amp;dst=100023" TargetMode = "External"/><Relationship Id="rId25" Type="http://schemas.openxmlformats.org/officeDocument/2006/relationships/hyperlink" Target="https://login.consultant.ru/link/?req=doc&amp;base=RLAW358&amp;n=187628&amp;dst=100106" TargetMode = "External"/><Relationship Id="rId26" Type="http://schemas.openxmlformats.org/officeDocument/2006/relationships/hyperlink" Target="https://login.consultant.ru/link/?req=doc&amp;base=RLAW358&amp;n=198781&amp;dst=100005" TargetMode = "External"/><Relationship Id="rId27" Type="http://schemas.openxmlformats.org/officeDocument/2006/relationships/hyperlink" Target="https://login.consultant.ru/link/?req=doc&amp;base=RLAW358&amp;n=66788" TargetMode = "External"/><Relationship Id="rId28" Type="http://schemas.openxmlformats.org/officeDocument/2006/relationships/hyperlink" Target="https://login.consultant.ru/link/?req=doc&amp;base=RLAW358&amp;n=199146&amp;dst=100110" TargetMode = "External"/><Relationship Id="rId29" Type="http://schemas.openxmlformats.org/officeDocument/2006/relationships/hyperlink" Target="https://login.consultant.ru/link/?req=doc&amp;base=RLAW358&amp;n=129227&amp;dst=100006" TargetMode = "External"/><Relationship Id="rId30" Type="http://schemas.openxmlformats.org/officeDocument/2006/relationships/hyperlink" Target="https://login.consultant.ru/link/?req=doc&amp;base=RLAW358&amp;n=70150" TargetMode = "External"/><Relationship Id="rId31" Type="http://schemas.openxmlformats.org/officeDocument/2006/relationships/hyperlink" Target="https://login.consultant.ru/link/?req=doc&amp;base=RLAW358&amp;n=98189&amp;dst=100006" TargetMode = "External"/><Relationship Id="rId32" Type="http://schemas.openxmlformats.org/officeDocument/2006/relationships/hyperlink" Target="https://login.consultant.ru/link/?req=doc&amp;base=RLAW358&amp;n=98189&amp;dst=100007" TargetMode = "External"/><Relationship Id="rId33" Type="http://schemas.openxmlformats.org/officeDocument/2006/relationships/hyperlink" Target="https://login.consultant.ru/link/?req=doc&amp;base=RLAW358&amp;n=198781&amp;dst=100005" TargetMode = "External"/><Relationship Id="rId34" Type="http://schemas.openxmlformats.org/officeDocument/2006/relationships/hyperlink" Target="https://login.consultant.ru/link/?req=doc&amp;base=LAW&amp;n=441324&amp;dst=100128" TargetMode = "External"/><Relationship Id="rId35" Type="http://schemas.openxmlformats.org/officeDocument/2006/relationships/hyperlink" Target="https://login.consultant.ru/link/?req=doc&amp;base=LAW&amp;n=441324&amp;dst=100347" TargetMode = "External"/><Relationship Id="rId36" Type="http://schemas.openxmlformats.org/officeDocument/2006/relationships/hyperlink" Target="https://minforest.saratov.gov.ru/" TargetMode = "External"/><Relationship Id="rId37" Type="http://schemas.openxmlformats.org/officeDocument/2006/relationships/hyperlink" Target="https://www.gosuslugi.ru/" TargetMode = "External"/><Relationship Id="rId38" Type="http://schemas.openxmlformats.org/officeDocument/2006/relationships/hyperlink" Target="https://minforest.saratov.gov.ru/" TargetMode = "External"/><Relationship Id="rId39" Type="http://schemas.openxmlformats.org/officeDocument/2006/relationships/hyperlink" Target="https://www.gosuslugi.ru/" TargetMode = "External"/><Relationship Id="rId40" Type="http://schemas.openxmlformats.org/officeDocument/2006/relationships/hyperlink" Target="https://login.consultant.ru/link/?req=doc&amp;base=LAW&amp;n=536592&amp;dst=100038" TargetMode = "External"/><Relationship Id="rId41" Type="http://schemas.openxmlformats.org/officeDocument/2006/relationships/hyperlink" Target="https://login.consultant.ru/link/?req=doc&amp;base=LAW&amp;n=523235&amp;dst=364" TargetMode = "External"/><Relationship Id="rId42" Type="http://schemas.openxmlformats.org/officeDocument/2006/relationships/hyperlink" Target="https://login.consultant.ru/link/?req=doc&amp;base=LAW&amp;n=511602" TargetMode = "External"/><Relationship Id="rId43" Type="http://schemas.openxmlformats.org/officeDocument/2006/relationships/hyperlink" Target="https://login.consultant.ru/link/?req=doc&amp;base=LAW&amp;n=523574" TargetMode = "External"/><Relationship Id="rId44" Type="http://schemas.openxmlformats.org/officeDocument/2006/relationships/hyperlink" Target="https://login.consultant.ru/link/?req=doc&amp;base=LAW&amp;n=441324&amp;dst=100012" TargetMode = "External"/><Relationship Id="rId45" Type="http://schemas.openxmlformats.org/officeDocument/2006/relationships/hyperlink" Target="https://login.consultant.ru/link/?req=doc&amp;base=LAW&amp;n=511602" TargetMode = "External"/><Relationship Id="rId46" Type="http://schemas.openxmlformats.org/officeDocument/2006/relationships/header" Target="header2.xml"/><Relationship Id="rId47" Type="http://schemas.openxmlformats.org/officeDocument/2006/relationships/footer" Target="footer2.xml"/><Relationship Id="rId48" Type="http://schemas.openxmlformats.org/officeDocument/2006/relationships/hyperlink" Target="https://login.consultant.ru/link/?req=doc&amp;base=LAW&amp;n=441324&amp;dst=100043" TargetMode = "External"/><Relationship Id="rId49" Type="http://schemas.openxmlformats.org/officeDocument/2006/relationships/hyperlink" Target="https://login.consultant.ru/link/?req=doc&amp;base=LAW&amp;n=536592&amp;dst=100038" TargetMode = "External"/><Relationship Id="rId50" Type="http://schemas.openxmlformats.org/officeDocument/2006/relationships/image" Target="media/image2.wmf"/><Relationship Id="rId51" Type="http://schemas.openxmlformats.org/officeDocument/2006/relationships/hyperlink" Target="https://login.consultant.ru/link/?req=doc&amp;base=LAW&amp;n=15072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Саратовской области от 17.06.2014 N 281
(ред. от 01.06.2026)
"Об утверждении административного регламента по предоставлению государственной услуги"
(вместе с "Административным регламентом предоставления государственной услуги "Проведение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</dc:title>
  <dcterms:created xsi:type="dcterms:W3CDTF">2026-08-03T12:08:22Z</dcterms:created>
</cp:coreProperties>
</file>