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4"/>
              </w:rPr>
              <w:t xml:space="preserve">Приказ министерства природных ресурсов и экологии Саратовской области от 17.06.2014 N 277</w:t>
              <w:br/>
              <w:t xml:space="preserve">(ред. от 16.07.2026)</w:t>
              <w:br/>
              <w:t xml:space="preserve">"Об утверждении административного регламента по предоставлению государственной услуги"</w:t>
              <w:br/>
              <w:t xml:space="preserve">(вместе с "Административным регламентом министерства природных ресурсов и экологии Саратовской области по предоставлению государственной услуги "Оформление, государственная регистрация и выдача лицензий на пользование недрами, внесение изменений в лицензии на пользование недрами, переоформление лицензий на пользование недрами в отношении участков недр местного значения")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03.08.2026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ПРИРОДНЫХ РЕСУРСОВ И ЭКОЛОГИИ</w:t>
      </w:r>
    </w:p>
    <w:p>
      <w:pPr>
        <w:pStyle w:val="2"/>
        <w:jc w:val="center"/>
      </w:pPr>
      <w:r>
        <w:rPr>
          <w:sz w:val="20"/>
        </w:rPr>
        <w:t xml:space="preserve">САРАТОВСКОЙ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17 июня 2014 г. N 277</w:t>
      </w:r>
    </w:p>
    <w:p>
      <w:pPr>
        <w:pStyle w:val="2"/>
        <w:jc w:val="center"/>
      </w:pPr>
      <w:r>
        <w:rPr>
          <w:sz w:val="20"/>
        </w:rPr>
      </w:r>
    </w:p>
    <w:p>
      <w:pPr>
        <w:pStyle w:val="2"/>
        <w:jc w:val="center"/>
      </w:pPr>
      <w:r>
        <w:rPr>
          <w:sz w:val="20"/>
        </w:rPr>
        <w:t xml:space="preserve">ОБ УТВЕРЖДЕНИИ АДМИНИСТРАТИВНОГО РЕГЛАМЕНТА</w:t>
      </w:r>
    </w:p>
    <w:p>
      <w:pPr>
        <w:pStyle w:val="2"/>
        <w:jc w:val="center"/>
      </w:pPr>
      <w:r>
        <w:rPr>
          <w:sz w:val="20"/>
        </w:rPr>
        <w:t xml:space="preserve">ПО ПРЕДОСТАВЛЕНИЮ ГОСУДАРСТВЕННОЙ УСЛУГИ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министерства природных ресурсов и экологии</w:t>
            </w:r>
          </w:p>
          <w:p>
            <w:pPr>
              <w:pStyle w:val="0"/>
              <w:jc w:val="center"/>
            </w:pPr>
            <w:r>
              <w:rPr>
                <w:sz w:val="20"/>
                <w:color w:val="392c69"/>
              </w:rPr>
              <w:t xml:space="preserve">Саратовской области от 20.10.2014 </w:t>
            </w:r>
            <w:hyperlink w:history="0" r:id="rId8" w:tooltip="Приказ министерства природных ресурсов и экологии Саратовской области от 20.10.2014 N 439 (ред. от 05.06.2019)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439</w:t>
              </w:r>
            </w:hyperlink>
            <w:r>
              <w:rPr>
                <w:sz w:val="20"/>
                <w:color w:val="392c69"/>
              </w:rPr>
              <w:t xml:space="preserve">, от 02.04.2015 </w:t>
            </w:r>
            <w:hyperlink w:history="0" r:id="rId9" w:tooltip="Приказ министерства природных ресурсов и экологии Саратовской области от 02.04.2015 N 137 (ред. от 03.12.2021)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137</w:t>
              </w:r>
            </w:hyperlink>
            <w:r>
              <w:rPr>
                <w:sz w:val="20"/>
                <w:color w:val="392c69"/>
              </w:rPr>
              <w:t xml:space="preserve">,</w:t>
            </w:r>
          </w:p>
          <w:p>
            <w:pPr>
              <w:pStyle w:val="0"/>
              <w:jc w:val="center"/>
            </w:pPr>
            <w:r>
              <w:rPr>
                <w:sz w:val="20"/>
                <w:color w:val="392c69"/>
              </w:rPr>
              <w:t xml:space="preserve">от 17.06.2015 </w:t>
            </w:r>
            <w:hyperlink w:history="0" r:id="rId10" w:tooltip="Приказ министерства природных ресурсов и экологии Саратовской области от 17.06.2015 N 283 &quot;О внесении изменений в приказ министерства природных ресурсов и экологии Саратовской области от 17 июня 2014 г. N 277&quot; {КонсультантПлюс}">
              <w:r>
                <w:rPr>
                  <w:sz w:val="20"/>
                  <w:color w:val="0000ff"/>
                </w:rPr>
                <w:t xml:space="preserve">N 283</w:t>
              </w:r>
            </w:hyperlink>
            <w:r>
              <w:rPr>
                <w:sz w:val="20"/>
                <w:color w:val="392c69"/>
              </w:rPr>
              <w:t xml:space="preserve">, от 17.08.2015 </w:t>
            </w:r>
            <w:hyperlink w:history="0" r:id="rId11" w:tooltip="Приказ министерства природных ресурсов и экологии Саратовской области от 17.08.2015 N 380 (ред. от 03.12.2021)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380</w:t>
              </w:r>
            </w:hyperlink>
            <w:r>
              <w:rPr>
                <w:sz w:val="20"/>
                <w:color w:val="392c69"/>
              </w:rPr>
              <w:t xml:space="preserve">, от 19.10.2015 </w:t>
            </w:r>
            <w:hyperlink w:history="0" r:id="rId12" w:tooltip="Приказ министерства природных ресурсов и экологии Саратовской области от 19.10.2015 N 479 (ред. от 03.12.2021)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479</w:t>
              </w:r>
            </w:hyperlink>
            <w:r>
              <w:rPr>
                <w:sz w:val="20"/>
                <w:color w:val="392c69"/>
              </w:rPr>
              <w:t xml:space="preserve">,</w:t>
            </w:r>
          </w:p>
          <w:p>
            <w:pPr>
              <w:pStyle w:val="0"/>
              <w:jc w:val="center"/>
            </w:pPr>
            <w:r>
              <w:rPr>
                <w:sz w:val="20"/>
                <w:color w:val="392c69"/>
              </w:rPr>
              <w:t xml:space="preserve">от 08.12.2015 </w:t>
            </w:r>
            <w:hyperlink w:history="0" r:id="rId13" w:tooltip="Приказ министерства природных ресурсов и экологии Саратовской области от 08.12.2015 N 567 (ред. от 03.12.2021)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567</w:t>
              </w:r>
            </w:hyperlink>
            <w:r>
              <w:rPr>
                <w:sz w:val="20"/>
                <w:color w:val="392c69"/>
              </w:rPr>
              <w:t xml:space="preserve">, от 14.12.2015 </w:t>
            </w:r>
            <w:hyperlink w:history="0" r:id="rId14" w:tooltip="Приказ министерства природных ресурсов и экологии Саратовской области от 14.12.2015 N 582 (ред. от 05.06.2019)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582</w:t>
              </w:r>
            </w:hyperlink>
            <w:r>
              <w:rPr>
                <w:sz w:val="20"/>
                <w:color w:val="392c69"/>
              </w:rPr>
              <w:t xml:space="preserve">, от 23.11.2016 </w:t>
            </w:r>
            <w:hyperlink w:history="0" r:id="rId15" w:tooltip="Приказ министерства природных ресурсов и экологии Саратовской области от 23.11.2016 N 873 &quot;О внесении изменений в приказ министерства природных ресурсов и экологии Саратовской области от 17 июня 2014 года N 277&quot; {КонсультантПлюс}">
              <w:r>
                <w:rPr>
                  <w:sz w:val="20"/>
                  <w:color w:val="0000ff"/>
                </w:rPr>
                <w:t xml:space="preserve">N 873</w:t>
              </w:r>
            </w:hyperlink>
            <w:r>
              <w:rPr>
                <w:sz w:val="20"/>
                <w:color w:val="392c69"/>
              </w:rPr>
              <w:t xml:space="preserve">,</w:t>
            </w:r>
          </w:p>
          <w:p>
            <w:pPr>
              <w:pStyle w:val="0"/>
              <w:jc w:val="center"/>
            </w:pPr>
            <w:r>
              <w:rPr>
                <w:sz w:val="20"/>
                <w:color w:val="392c69"/>
              </w:rPr>
              <w:t xml:space="preserve">от 10.04.2017 </w:t>
            </w:r>
            <w:hyperlink w:history="0" r:id="rId16" w:tooltip="Приказ министерства природных ресурсов и экологии Саратовской области от 10.04.2017 N 266 (ред. от 03.12.2021)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266</w:t>
              </w:r>
            </w:hyperlink>
            <w:r>
              <w:rPr>
                <w:sz w:val="20"/>
                <w:color w:val="392c69"/>
              </w:rPr>
              <w:t xml:space="preserve">, от 06.02.2018 </w:t>
            </w:r>
            <w:hyperlink w:history="0" r:id="rId17" w:tooltip="Приказ министерства природных ресурсов и экологии Саратовской области от 06.02.2018 N 59 &quot;О внесении изменений в приказ министерства природных ресурсов и экологии Саратовской области от 17 июня 2014 года N 277&quot; {КонсультантПлюс}">
              <w:r>
                <w:rPr>
                  <w:sz w:val="20"/>
                  <w:color w:val="0000ff"/>
                </w:rPr>
                <w:t xml:space="preserve">N 59</w:t>
              </w:r>
            </w:hyperlink>
            <w:r>
              <w:rPr>
                <w:sz w:val="20"/>
                <w:color w:val="392c69"/>
              </w:rPr>
              <w:t xml:space="preserve">, от 05.06.2018 </w:t>
            </w:r>
            <w:hyperlink w:history="0" r:id="rId18" w:tooltip="Приказ министерства природных ресурсов и экологии Саратовской области от 05.06.2018 N 365 (ред. от 05.06.2019)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365</w:t>
              </w:r>
            </w:hyperlink>
            <w:r>
              <w:rPr>
                <w:sz w:val="20"/>
                <w:color w:val="392c69"/>
              </w:rPr>
              <w:t xml:space="preserve">,</w:t>
            </w:r>
          </w:p>
          <w:p>
            <w:pPr>
              <w:pStyle w:val="0"/>
              <w:jc w:val="center"/>
            </w:pPr>
            <w:r>
              <w:rPr>
                <w:sz w:val="20"/>
                <w:color w:val="392c69"/>
              </w:rPr>
              <w:t xml:space="preserve">от 27.11.2018 </w:t>
            </w:r>
            <w:hyperlink w:history="0" r:id="rId19" w:tooltip="Приказ министерства природных ресурсов и экологии Саратовской области от 27.11.2018 N 1207 &quot;О внесении изменений в приказ министерства природных ресурсов и экологии Саратовской области от 17 июня 2014 года N 277&quot; {КонсультантПлюс}">
              <w:r>
                <w:rPr>
                  <w:sz w:val="20"/>
                  <w:color w:val="0000ff"/>
                </w:rPr>
                <w:t xml:space="preserve">N 1207</w:t>
              </w:r>
            </w:hyperlink>
            <w:r>
              <w:rPr>
                <w:sz w:val="20"/>
                <w:color w:val="392c69"/>
              </w:rPr>
              <w:t xml:space="preserve">, от 24.01.2019 </w:t>
            </w:r>
            <w:hyperlink w:history="0" r:id="rId20" w:tooltip="Приказ министерства природных ресурсов и экологии Саратовской области от 24.01.2019 N 70 (ред. от 05.06.2019)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70</w:t>
              </w:r>
            </w:hyperlink>
            <w:r>
              <w:rPr>
                <w:sz w:val="20"/>
                <w:color w:val="392c69"/>
              </w:rPr>
              <w:t xml:space="preserve">, от 16.06.2020 </w:t>
            </w:r>
            <w:hyperlink w:history="0" r:id="rId21" w:tooltip="Приказ министерства природных ресурсов и экологии Саратовской области от 16.06.2020 N 288 &quot;О внесении изменений в приказ министерства природных ресурсов и экологии Саратовской области от 17 июня 2014 года N 277&quot; {КонсультантПлюс}">
              <w:r>
                <w:rPr>
                  <w:sz w:val="20"/>
                  <w:color w:val="0000ff"/>
                </w:rPr>
                <w:t xml:space="preserve">N 288</w:t>
              </w:r>
            </w:hyperlink>
            <w:r>
              <w:rPr>
                <w:sz w:val="20"/>
                <w:color w:val="392c69"/>
              </w:rPr>
              <w:t xml:space="preserve">,</w:t>
            </w:r>
          </w:p>
          <w:p>
            <w:pPr>
              <w:pStyle w:val="0"/>
              <w:jc w:val="center"/>
            </w:pPr>
            <w:r>
              <w:rPr>
                <w:sz w:val="20"/>
                <w:color w:val="392c69"/>
              </w:rPr>
              <w:t xml:space="preserve">от 04.09.2020 </w:t>
            </w:r>
            <w:hyperlink w:history="0" r:id="rId22" w:tooltip="Приказ министерства природных ресурсов и экологии Саратовской области от 04.09.2020 N 467 &quot;О внесении изменений в приказ министерства природных ресурсов и экологии Саратовской области от 17 июня 2014 года N 277&quot; {КонсультантПлюс}">
              <w:r>
                <w:rPr>
                  <w:sz w:val="20"/>
                  <w:color w:val="0000ff"/>
                </w:rPr>
                <w:t xml:space="preserve">N 467</w:t>
              </w:r>
            </w:hyperlink>
            <w:r>
              <w:rPr>
                <w:sz w:val="20"/>
                <w:color w:val="392c69"/>
              </w:rPr>
              <w:t xml:space="preserve">, от 18.12.2020 </w:t>
            </w:r>
            <w:hyperlink w:history="0" r:id="rId23" w:tooltip="Приказ министерства природных ресурсов и экологии Саратовской области от 18.12.2020 N 672 &quot;О внесении изменений в приказ министерства природных ресурсов и экологии Саратовской области от 17 июня 2014 года N 277&quot; {КонсультантПлюс}">
              <w:r>
                <w:rPr>
                  <w:sz w:val="20"/>
                  <w:color w:val="0000ff"/>
                </w:rPr>
                <w:t xml:space="preserve">N 672</w:t>
              </w:r>
            </w:hyperlink>
            <w:r>
              <w:rPr>
                <w:sz w:val="20"/>
                <w:color w:val="392c69"/>
              </w:rPr>
              <w:t xml:space="preserve">, от 30.06.2021 </w:t>
            </w:r>
            <w:hyperlink w:history="0" r:id="rId24" w:tooltip="Приказ министерства природных ресурсов и экологии Саратовской области от 30.06.2021 N 283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283</w:t>
              </w:r>
            </w:hyperlink>
            <w:r>
              <w:rPr>
                <w:sz w:val="20"/>
                <w:color w:val="392c69"/>
              </w:rPr>
              <w:t xml:space="preserve">,</w:t>
            </w:r>
          </w:p>
          <w:p>
            <w:pPr>
              <w:pStyle w:val="0"/>
              <w:jc w:val="center"/>
            </w:pPr>
            <w:r>
              <w:rPr>
                <w:sz w:val="20"/>
                <w:color w:val="392c69"/>
              </w:rPr>
              <w:t xml:space="preserve">от 23.09.2021 </w:t>
            </w:r>
            <w:hyperlink w:history="0" r:id="rId25" w:tooltip="Приказ министерства природных ресурсов и экологии Саратовской области от 23.09.2021 N 438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438</w:t>
              </w:r>
            </w:hyperlink>
            <w:r>
              <w:rPr>
                <w:sz w:val="20"/>
                <w:color w:val="392c69"/>
              </w:rPr>
              <w:t xml:space="preserve">, от 28.03.2022 </w:t>
            </w:r>
            <w:hyperlink w:history="0" r:id="rId26" w:tooltip="Приказ министерства природных ресурсов и экологии Саратовской области от 28.03.2022 N 132 &quot;О внесении изменений в приказ министерства природных ресурсов и экологии Саратовской области от 17 июня 2014 года N 277&quot; {КонсультантПлюс}">
              <w:r>
                <w:rPr>
                  <w:sz w:val="20"/>
                  <w:color w:val="0000ff"/>
                </w:rPr>
                <w:t xml:space="preserve">N 132</w:t>
              </w:r>
            </w:hyperlink>
            <w:r>
              <w:rPr>
                <w:sz w:val="20"/>
                <w:color w:val="392c69"/>
              </w:rPr>
              <w:t xml:space="preserve">, от 20.07.2022 </w:t>
            </w:r>
            <w:hyperlink w:history="0" r:id="rId27" w:tooltip="Приказ министерства природных ресурсов и экологии Саратовской области от 20.07.2022 N 351 &quot;О внесении изменений в приказ министерства природных ресурсов и экологии Саратовской области от 17 июня 2014 года N 277&quot; {КонсультантПлюс}">
              <w:r>
                <w:rPr>
                  <w:sz w:val="20"/>
                  <w:color w:val="0000ff"/>
                </w:rPr>
                <w:t xml:space="preserve">N 351</w:t>
              </w:r>
            </w:hyperlink>
            <w:r>
              <w:rPr>
                <w:sz w:val="20"/>
                <w:color w:val="392c69"/>
              </w:rPr>
              <w:t xml:space="preserve">,</w:t>
            </w:r>
          </w:p>
          <w:p>
            <w:pPr>
              <w:pStyle w:val="0"/>
              <w:jc w:val="center"/>
            </w:pPr>
            <w:r>
              <w:rPr>
                <w:sz w:val="20"/>
                <w:color w:val="392c69"/>
              </w:rPr>
              <w:t xml:space="preserve">от 18.10.2023 </w:t>
            </w:r>
            <w:hyperlink w:history="0" r:id="rId28" w:tooltip="Приказ министерства природных ресурсов и экологии Саратовской области от 18.10.2023 N 615 &quot;О внесении изменения в приказ министерства природных ресурсов и экологии Саратовской области от 17 июня 2014 года N 277&quot; {КонсультантПлюс}">
              <w:r>
                <w:rPr>
                  <w:sz w:val="20"/>
                  <w:color w:val="0000ff"/>
                </w:rPr>
                <w:t xml:space="preserve">N 615</w:t>
              </w:r>
            </w:hyperlink>
            <w:r>
              <w:rPr>
                <w:sz w:val="20"/>
                <w:color w:val="392c69"/>
              </w:rPr>
              <w:t xml:space="preserve">, от 14.04.2025 </w:t>
            </w:r>
            <w:hyperlink w:history="0" r:id="rId29" w:tooltip="Приказ министерства природных ресурсов и экологии Саратовской области от 14.04.2025 N 157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157</w:t>
              </w:r>
            </w:hyperlink>
            <w:r>
              <w:rPr>
                <w:sz w:val="20"/>
                <w:color w:val="392c69"/>
              </w:rPr>
              <w:t xml:space="preserve">, от 24.06.2025 </w:t>
            </w:r>
            <w:hyperlink w:history="0" r:id="rId30" w:tooltip="Приказ министерства природных ресурсов и экологии Саратовской области от 24.06.2025 N 347 &quot;О внесении изменений в некоторые приказы министерства природных ресурсов и экологии Саратовской области&quot; {КонсультантПлюс}">
              <w:r>
                <w:rPr>
                  <w:sz w:val="20"/>
                  <w:color w:val="0000ff"/>
                </w:rPr>
                <w:t xml:space="preserve">N 347</w:t>
              </w:r>
            </w:hyperlink>
            <w:r>
              <w:rPr>
                <w:sz w:val="20"/>
                <w:color w:val="392c69"/>
              </w:rPr>
              <w:t xml:space="preserve">,</w:t>
            </w:r>
          </w:p>
          <w:p>
            <w:pPr>
              <w:pStyle w:val="0"/>
              <w:jc w:val="center"/>
            </w:pPr>
            <w:r>
              <w:rPr>
                <w:sz w:val="20"/>
                <w:color w:val="392c69"/>
              </w:rPr>
              <w:t xml:space="preserve">от 16.07.2026 </w:t>
            </w:r>
            <w:hyperlink w:history="0" r:id="rId31" w:tooltip="Приказ министерства природных ресурсов и экологии Саратовской области от 16.07.2026 N 348 &quot;О внесении изменения в приказ министерства природных ресурсов и экологии Саратовской области от 17 июня 2014 года N 277&quot; {КонсультантПлюс}">
              <w:r>
                <w:rPr>
                  <w:sz w:val="20"/>
                  <w:color w:val="0000ff"/>
                </w:rPr>
                <w:t xml:space="preserve">N 348</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 основании </w:t>
      </w:r>
      <w:hyperlink w:history="0" r:id="rId32" w:tooltip="Постановление Правительства Саратовской области от 10.06.2013 N 286-П &quot;О реорганизации некоторых органов исполнительной власти Саратовской области&quot; {КонсультантПлюс}">
        <w:r>
          <w:rPr>
            <w:sz w:val="20"/>
            <w:color w:val="0000ff"/>
          </w:rPr>
          <w:t xml:space="preserve">постановления</w:t>
        </w:r>
      </w:hyperlink>
      <w:r>
        <w:rPr>
          <w:sz w:val="20"/>
        </w:rPr>
        <w:t xml:space="preserve"> Правительства Саратовской области от 10 июня 2013 г. N 286-П "О реорганизации некоторых органов исполнительной власти Саратовской области", </w:t>
      </w:r>
      <w:hyperlink w:history="0" r:id="rId33" w:tooltip="Постановление Правительства Саратовской области от 08.10.2013 N 537-П (ред. от 17.06.2026) &quot;Вопросы министерства природных ресурсов и экологии Саратовской области&quot; (вместе с &quot;Положением о министерстве природных ресурсов и экологии Саратовской области&quot;, &quot;Перечнем юридических лиц, подведомственных министерству природных ресурсов и экологии Саратовской области&quot;) {КонсультантПлюс}">
        <w:r>
          <w:rPr>
            <w:sz w:val="20"/>
            <w:color w:val="0000ff"/>
          </w:rPr>
          <w:t xml:space="preserve">постановления</w:t>
        </w:r>
      </w:hyperlink>
      <w:r>
        <w:rPr>
          <w:sz w:val="20"/>
        </w:rPr>
        <w:t xml:space="preserve"> Правительства Саратовской области от 8 октября 2013 г. N 537-П "Вопросы министерства природных ресурсов и экологии Саратовской области" приказываю:</w:t>
      </w:r>
    </w:p>
    <w:p>
      <w:pPr>
        <w:pStyle w:val="0"/>
        <w:spacing w:before="200" w:lineRule="auto"/>
        <w:ind w:firstLine="540"/>
        <w:jc w:val="both"/>
      </w:pPr>
      <w:r>
        <w:rPr>
          <w:sz w:val="20"/>
        </w:rPr>
        <w:t xml:space="preserve">1. Утвердить административный </w:t>
      </w:r>
      <w:hyperlink w:history="0" w:anchor="P52" w:tooltip="от 17 июня 2014 г. N 277">
        <w:r>
          <w:rPr>
            <w:sz w:val="20"/>
            <w:color w:val="0000ff"/>
          </w:rPr>
          <w:t xml:space="preserve">регламент</w:t>
        </w:r>
      </w:hyperlink>
      <w:r>
        <w:rPr>
          <w:sz w:val="20"/>
        </w:rPr>
        <w:t xml:space="preserve"> министерства природных ресурсов и экологии Саратовской области по предоставлению государственной услуги по оформлению, государственной регистрации и выдаче лицензий на пользование недрами, внесению изменений в лицензии на пользование недрами, переоформлению лицензий на пользование недрами в отношении участков недр местного значения согласно приложению.</w:t>
      </w:r>
    </w:p>
    <w:p>
      <w:pPr>
        <w:pStyle w:val="0"/>
        <w:jc w:val="both"/>
      </w:pPr>
      <w:r>
        <w:rPr>
          <w:sz w:val="20"/>
        </w:rPr>
        <w:t xml:space="preserve">(п. 1 в ред. </w:t>
      </w:r>
      <w:hyperlink w:history="0" r:id="rId34" w:tooltip="Приказ министерства природных ресурсов и экологии Саратовской области от 28.03.2022 N 132 &quot;О внесении изменений в приказ министерства природных ресурсов и экологии Саратовской области от 17 июня 2014 года N 277&quot; {КонсультантПлюс}">
        <w:r>
          <w:rPr>
            <w:sz w:val="20"/>
            <w:color w:val="0000ff"/>
          </w:rPr>
          <w:t xml:space="preserve">приказа</w:t>
        </w:r>
      </w:hyperlink>
      <w:r>
        <w:rPr>
          <w:sz w:val="20"/>
        </w:rPr>
        <w:t xml:space="preserve"> министерства природных ресурсов и экологии Саратовской области от 28.03.2022 N 132)</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35" w:tooltip="Приказ комитета охраны окружающей среды и природопользования Саратовской области от 07.07.2008 N 1585 (ред. от 25.02.2013) &quot;Об утверждении административного регламента комитета охраны окружающей среды и природопользования области по предоставлению государственной услуги&quot; ------------ Утратил силу или отменен {КонсультантПлюс}">
        <w:r>
          <w:rPr>
            <w:sz w:val="20"/>
            <w:color w:val="0000ff"/>
          </w:rPr>
          <w:t xml:space="preserve">приказ</w:t>
        </w:r>
      </w:hyperlink>
      <w:r>
        <w:rPr>
          <w:sz w:val="20"/>
        </w:rPr>
        <w:t xml:space="preserve"> комитета охраны окружающей среды и природопользования Саратовской области от 7 июля 2008 г. N 1585 "Об утверждении административного регламента комитета охраны окружающей среды и природопользования области по предоставлению государственной услуги";</w:t>
      </w:r>
    </w:p>
    <w:p>
      <w:pPr>
        <w:pStyle w:val="0"/>
        <w:spacing w:before="200" w:lineRule="auto"/>
        <w:ind w:firstLine="540"/>
        <w:jc w:val="both"/>
      </w:pPr>
      <w:hyperlink w:history="0" r:id="rId36" w:tooltip="Приказ комитета охраны окружающей среды и природопользования Саратовской области от 03.09.2008 N 2012 &quot;О внесении изменений в приложение к приказу комитета охраны окружающей среды и природопользования области от 7 июля 2008 г. N 1585 &quot;Об утверждении административного регламента комитета охраны окружающей среды и природопользования области про предоставлению государственной услуги&quot; ------------ Утратил силу или отменен {КонсультантПлюс}">
        <w:r>
          <w:rPr>
            <w:sz w:val="20"/>
            <w:color w:val="0000ff"/>
          </w:rPr>
          <w:t xml:space="preserve">приказ</w:t>
        </w:r>
      </w:hyperlink>
      <w:r>
        <w:rPr>
          <w:sz w:val="20"/>
        </w:rPr>
        <w:t xml:space="preserve"> комитета охраны окружающей среды и природопользования Саратовской области от 3 сентября 2008 г. N 2012 "О внесении изменений в приложение к приказу комитета охраны окружающей среды и природопользования области от 7 июля 2008 г. N 1585 "Об утверждении административного регламента комитета охраны окружающей среды и природопользования области про предоставлению государственной услуги";</w:t>
      </w:r>
    </w:p>
    <w:p>
      <w:pPr>
        <w:pStyle w:val="0"/>
        <w:spacing w:before="200" w:lineRule="auto"/>
        <w:ind w:firstLine="540"/>
        <w:jc w:val="both"/>
      </w:pPr>
      <w:hyperlink w:history="0" r:id="rId37" w:tooltip="Приказ комитета охраны окружающей среды и природопользования Саратовской области от 04.12.2008 N 2683 &quot;О внесении изменений в приложение к приказу комитета охраны окружающей среды и природопользования области от 7 июля 2008 г. N 1585&quot; ------------ Утратил силу или отменен {КонсультантПлюс}">
        <w:r>
          <w:rPr>
            <w:sz w:val="20"/>
            <w:color w:val="0000ff"/>
          </w:rPr>
          <w:t xml:space="preserve">приказ</w:t>
        </w:r>
      </w:hyperlink>
      <w:r>
        <w:rPr>
          <w:sz w:val="20"/>
        </w:rPr>
        <w:t xml:space="preserve"> комитета охраны окружающей среды и природопользования Саратовской области от 4 декабря 2008 г. N 2683 "О внесении изменений в приложение к приказу комитета охраны окружающей среды и природопользования области от 7 июля 2008 г. N 1585";</w:t>
      </w:r>
    </w:p>
    <w:p>
      <w:pPr>
        <w:pStyle w:val="0"/>
        <w:spacing w:before="200" w:lineRule="auto"/>
        <w:ind w:firstLine="540"/>
        <w:jc w:val="both"/>
      </w:pPr>
      <w:hyperlink w:history="0" r:id="rId38" w:tooltip="Приказ комитета охраны окружающей среды и природопользования Саратовской области от 20.12.2010 N 1381 &quot;О внесении изменений в приказ комитета охраны окружающей среды и природопользования области от 7 июля 2008 г. N 1585&quot; ------------ Утратил силу или отменен {КонсультантПлюс}">
        <w:r>
          <w:rPr>
            <w:sz w:val="20"/>
            <w:color w:val="0000ff"/>
          </w:rPr>
          <w:t xml:space="preserve">приказ</w:t>
        </w:r>
      </w:hyperlink>
      <w:r>
        <w:rPr>
          <w:sz w:val="20"/>
        </w:rPr>
        <w:t xml:space="preserve"> комитета охраны окружающей среды и природопользования Саратовской области от 20 декабря 2010 г. N 1381 "О внесении изменений в приказ комитета охраны окружающей среды и природопользования области от 7 июля 2008 г. N 1585";</w:t>
      </w:r>
    </w:p>
    <w:p>
      <w:pPr>
        <w:pStyle w:val="0"/>
        <w:spacing w:before="200" w:lineRule="auto"/>
        <w:ind w:firstLine="540"/>
        <w:jc w:val="both"/>
      </w:pPr>
      <w:hyperlink w:history="0" r:id="rId39" w:tooltip="Приказ комитета охраны окружающей среды и природопользования Саратовской области от 21.02.2011 N 115 &quot;О внесении изменений в приложение к приказу комитета охраны окружающей среды и природопользования области от 7 июля 2008 г. N 1585&quot; ------------ Утратил силу или отменен {КонсультантПлюс}">
        <w:r>
          <w:rPr>
            <w:sz w:val="20"/>
            <w:color w:val="0000ff"/>
          </w:rPr>
          <w:t xml:space="preserve">приказ</w:t>
        </w:r>
      </w:hyperlink>
      <w:r>
        <w:rPr>
          <w:sz w:val="20"/>
        </w:rPr>
        <w:t xml:space="preserve"> комитета охраны окружающей среды и природопользования Саратовской области от 21 февраля 2011 г. N 115 "О внесении изменений в приложение к приказу комитета охраны окружающей среды и природопользования области от 7 июля 2008 г. N 1585";</w:t>
      </w:r>
    </w:p>
    <w:p>
      <w:pPr>
        <w:pStyle w:val="0"/>
        <w:spacing w:before="200" w:lineRule="auto"/>
        <w:ind w:firstLine="540"/>
        <w:jc w:val="both"/>
      </w:pPr>
      <w:hyperlink w:history="0" r:id="rId40" w:tooltip="Приказ комитета охраны окружающей среды и природопользования Саратовской области от 30.11.2011 N 956 &quot;О внесении изменений в приказ комитета охраны окружающей среды и природопользования области от 7 июля 2008 г. N 1585&quot; ------------ Утратил силу или отменен {КонсультантПлюс}">
        <w:r>
          <w:rPr>
            <w:sz w:val="20"/>
            <w:color w:val="0000ff"/>
          </w:rPr>
          <w:t xml:space="preserve">приказ</w:t>
        </w:r>
      </w:hyperlink>
      <w:r>
        <w:rPr>
          <w:sz w:val="20"/>
        </w:rPr>
        <w:t xml:space="preserve"> комитета охраны окружающей среды и природопользования Саратовской области от 30 ноября 2011 г. N 956 "О внесении изменений в приказ комитета охраны окружающей среды и природопользования области от 7 июля 2008 г. N 1585";</w:t>
      </w:r>
    </w:p>
    <w:p>
      <w:pPr>
        <w:pStyle w:val="0"/>
        <w:spacing w:before="200" w:lineRule="auto"/>
        <w:ind w:firstLine="540"/>
        <w:jc w:val="both"/>
      </w:pPr>
      <w:hyperlink w:history="0" r:id="rId41" w:tooltip="Приказ комитета охраны окружающей среды и природопользования Саратовской области от 21.05.2012 N 339 &quot;О внесении изменений в приказ комитета охраны окружающей среды и природопользования Саратовской области от 7 июля 2008 г. N 1585&quot; ------------ Утратил силу или отменен {КонсультантПлюс}">
        <w:r>
          <w:rPr>
            <w:sz w:val="20"/>
            <w:color w:val="0000ff"/>
          </w:rPr>
          <w:t xml:space="preserve">приказ</w:t>
        </w:r>
      </w:hyperlink>
      <w:r>
        <w:rPr>
          <w:sz w:val="20"/>
        </w:rPr>
        <w:t xml:space="preserve"> комитета охраны окружающей среды и природопользования Саратовской области от 21 мая 2012 г. N 339 "О внесении изменений в приказ комитета охраны окружающей среды и природопользования Саратовской области от 7 июля 2008 г. N 1585";</w:t>
      </w:r>
    </w:p>
    <w:p>
      <w:pPr>
        <w:pStyle w:val="0"/>
        <w:spacing w:before="200" w:lineRule="auto"/>
        <w:ind w:firstLine="540"/>
        <w:jc w:val="both"/>
      </w:pPr>
      <w:hyperlink w:history="0" r:id="rId42" w:tooltip="Приказ комитета охраны окружающей среды и природопользования Саратовской области от 25.09.2012 N 750 &quot;О внесении изменения в приказ комитета охраны окружающей среды и природопользования Саратовской области от 7 июля 2008 г. N 1585&quot; (вместе с &quot;Административным регламентом по предоставлению комитетом охраны окружающей среды и природопользования Саратовской области государственной услуги по выдаче лицензий на пользование участками недр местного значения&quot;) ------------ Утратил силу или отменен {КонсультантПлюс}">
        <w:r>
          <w:rPr>
            <w:sz w:val="20"/>
            <w:color w:val="0000ff"/>
          </w:rPr>
          <w:t xml:space="preserve">приказ</w:t>
        </w:r>
      </w:hyperlink>
      <w:r>
        <w:rPr>
          <w:sz w:val="20"/>
        </w:rPr>
        <w:t xml:space="preserve"> комитета охраны окружающей среды и природопользования Саратовской области от 25 сентября 2012 г. N 750 "О внесении изменения в приказ комитета охраны окружающей среды и природопользования Саратовской области от 7 июля 2008 г. N 1585";</w:t>
      </w:r>
    </w:p>
    <w:p>
      <w:pPr>
        <w:pStyle w:val="0"/>
        <w:spacing w:before="200" w:lineRule="auto"/>
        <w:ind w:firstLine="540"/>
        <w:jc w:val="both"/>
      </w:pPr>
      <w:hyperlink w:history="0" r:id="rId43" w:tooltip="Приказ комитета охраны окружающей среды и природопользования Саратовской области от 11.12.2012 N 1004 &quot;О внесении изменений в приказ комитета охраны окружающей среды и природопользования Саратовской области от 7 июля 2008 г. N 1585&quot; ------------ Утратил силу или отменен {КонсультантПлюс}">
        <w:r>
          <w:rPr>
            <w:sz w:val="20"/>
            <w:color w:val="0000ff"/>
          </w:rPr>
          <w:t xml:space="preserve">приказ</w:t>
        </w:r>
      </w:hyperlink>
      <w:r>
        <w:rPr>
          <w:sz w:val="20"/>
        </w:rPr>
        <w:t xml:space="preserve"> комитета охраны окружающей среды и природопользования Саратовской области от 11 декабря 2012 г. N 1004 "О внесении изменений в приказ комитета охраны окружающей среды и природопользования Саратовской области от 7 июля 2008 г. N 1585";</w:t>
      </w:r>
    </w:p>
    <w:p>
      <w:pPr>
        <w:pStyle w:val="0"/>
        <w:spacing w:before="200" w:lineRule="auto"/>
        <w:ind w:firstLine="540"/>
        <w:jc w:val="both"/>
      </w:pPr>
      <w:hyperlink w:history="0" r:id="rId44" w:tooltip="Приказ комитета охраны окружающей среды и природопользования Саратовской области от 24.12.2012 N 1018 &quot;О внесении изменения в приказ комитета охраны окружающей среды и природопользования Саратовской области от 7 июля 2008 г. N 1585&quot; ------------ Утратил силу или отменен {КонсультантПлюс}">
        <w:r>
          <w:rPr>
            <w:sz w:val="20"/>
            <w:color w:val="0000ff"/>
          </w:rPr>
          <w:t xml:space="preserve">приказ</w:t>
        </w:r>
      </w:hyperlink>
      <w:r>
        <w:rPr>
          <w:sz w:val="20"/>
        </w:rPr>
        <w:t xml:space="preserve"> комитета охраны окружающей среды и природопользования Саратовской области от 24 декабря 2012 г. N 1018 "О внесении изменения в приказ комитета охраны окружающей среды и природопользования Саратовской области от 7 июля 2008 г. N 1585";</w:t>
      </w:r>
    </w:p>
    <w:p>
      <w:pPr>
        <w:pStyle w:val="0"/>
        <w:spacing w:before="200" w:lineRule="auto"/>
        <w:ind w:firstLine="540"/>
        <w:jc w:val="both"/>
      </w:pPr>
      <w:hyperlink w:history="0" r:id="rId45" w:tooltip="Приказ комитета охраны окружающей среды и природопользования Саратовской области от 25.02.2013 N 113 &quot;О внесении изменений в приказ комитета охраны окружающей среды и природопользования Саратовской области от 7 июля 2008 г. N 1585&quot; ------------ Утратил силу или отменен {КонсультантПлюс}">
        <w:r>
          <w:rPr>
            <w:sz w:val="20"/>
            <w:color w:val="0000ff"/>
          </w:rPr>
          <w:t xml:space="preserve">приказ</w:t>
        </w:r>
      </w:hyperlink>
      <w:r>
        <w:rPr>
          <w:sz w:val="20"/>
        </w:rPr>
        <w:t xml:space="preserve"> комитета охраны окружающей среды и природопользования Саратовской области от 25 февраля 2013 г. N 113 "О внесении изменений в приказ комитета охраны окружающей среды и природопользования Саратовской области от 7 июля 2008 г. N 1585".</w:t>
      </w:r>
    </w:p>
    <w:p>
      <w:pPr>
        <w:pStyle w:val="0"/>
        <w:spacing w:before="200" w:lineRule="auto"/>
        <w:ind w:firstLine="540"/>
        <w:jc w:val="both"/>
      </w:pPr>
      <w:r>
        <w:rPr>
          <w:sz w:val="20"/>
        </w:rPr>
        <w:t xml:space="preserve">3. Утратил силу. - </w:t>
      </w:r>
      <w:hyperlink w:history="0" r:id="rId46" w:tooltip="Приказ министерства природных ресурсов и экологии Саратовской области от 23.11.2016 N 873 &quot;О внесении изменений в приказ министерства природных ресурсов и экологии Саратовской области от 17 июня 2014 года N 277&quot; {КонсультантПлюс}">
        <w:r>
          <w:rPr>
            <w:sz w:val="20"/>
            <w:color w:val="0000ff"/>
          </w:rPr>
          <w:t xml:space="preserve">Приказ</w:t>
        </w:r>
      </w:hyperlink>
      <w:r>
        <w:rPr>
          <w:sz w:val="20"/>
        </w:rPr>
        <w:t xml:space="preserve"> министерства природных ресурсов и экологии Саратовской области от 23.11.2016 N 873.</w:t>
      </w:r>
    </w:p>
    <w:p>
      <w:pPr>
        <w:pStyle w:val="0"/>
        <w:spacing w:before="200" w:lineRule="auto"/>
        <w:ind w:firstLine="540"/>
        <w:jc w:val="both"/>
      </w:pPr>
      <w:r>
        <w:rPr>
          <w:sz w:val="20"/>
        </w:rPr>
        <w:t xml:space="preserve">4. Контроль за исполнением настоящего приказа оставляю за собой.</w:t>
      </w:r>
    </w:p>
    <w:p>
      <w:pPr>
        <w:pStyle w:val="0"/>
        <w:jc w:val="both"/>
      </w:pPr>
      <w:r>
        <w:rPr>
          <w:sz w:val="20"/>
        </w:rPr>
        <w:t xml:space="preserve">(п. 4 в ред. </w:t>
      </w:r>
      <w:hyperlink w:history="0" r:id="rId47" w:tooltip="Приказ министерства природных ресурсов и экологии Саратовской области от 23.11.2016 N 873 &quot;О внесении изменений в приказ министерства природных ресурсов и экологии Саратовской области от 17 июня 2014 года N 277&quot; {КонсультантПлюс}">
        <w:r>
          <w:rPr>
            <w:sz w:val="20"/>
            <w:color w:val="0000ff"/>
          </w:rPr>
          <w:t xml:space="preserve">приказа</w:t>
        </w:r>
      </w:hyperlink>
      <w:r>
        <w:rPr>
          <w:sz w:val="20"/>
        </w:rPr>
        <w:t xml:space="preserve"> министерства природных ресурсов и экологии Саратовской области от 23.11.2016 N 873)</w:t>
      </w:r>
    </w:p>
    <w:p>
      <w:pPr>
        <w:pStyle w:val="0"/>
        <w:spacing w:before="200" w:lineRule="auto"/>
        <w:ind w:firstLine="540"/>
        <w:jc w:val="both"/>
      </w:pPr>
      <w:r>
        <w:rPr>
          <w:sz w:val="20"/>
        </w:rPr>
        <w:t xml:space="preserve">5. Настоящий приказ вступает в силу со дня его официального опубликования.</w:t>
      </w:r>
    </w:p>
    <w:p>
      <w:pPr>
        <w:pStyle w:val="0"/>
        <w:jc w:val="both"/>
      </w:pPr>
      <w:r>
        <w:rPr>
          <w:sz w:val="20"/>
        </w:rPr>
      </w:r>
    </w:p>
    <w:p>
      <w:pPr>
        <w:pStyle w:val="0"/>
        <w:jc w:val="right"/>
      </w:pPr>
      <w:r>
        <w:rPr>
          <w:sz w:val="20"/>
        </w:rPr>
        <w:t xml:space="preserve">Министр</w:t>
      </w:r>
    </w:p>
    <w:p>
      <w:pPr>
        <w:pStyle w:val="0"/>
        <w:jc w:val="right"/>
      </w:pPr>
      <w:r>
        <w:rPr>
          <w:sz w:val="20"/>
        </w:rPr>
        <w:t xml:space="preserve">И.Н.ПОТАПОВ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приказу</w:t>
      </w:r>
    </w:p>
    <w:p>
      <w:pPr>
        <w:pStyle w:val="0"/>
        <w:jc w:val="right"/>
      </w:pPr>
      <w:r>
        <w:rPr>
          <w:sz w:val="20"/>
        </w:rPr>
        <w:t xml:space="preserve">министерства природных ресурсов и экологии</w:t>
      </w:r>
    </w:p>
    <w:p>
      <w:pPr>
        <w:pStyle w:val="0"/>
        <w:jc w:val="right"/>
      </w:pPr>
      <w:r>
        <w:rPr>
          <w:sz w:val="20"/>
        </w:rPr>
        <w:t xml:space="preserve">Саратовской области</w:t>
      </w:r>
    </w:p>
    <w:bookmarkStart w:id="52" w:name="P52"/>
    <w:bookmarkEnd w:id="52"/>
    <w:p>
      <w:pPr>
        <w:pStyle w:val="0"/>
        <w:jc w:val="right"/>
      </w:pPr>
      <w:r>
        <w:rPr>
          <w:sz w:val="20"/>
        </w:rPr>
        <w:t xml:space="preserve">от 17 июня 2014 г. N 277</w:t>
      </w:r>
    </w:p>
    <w:p>
      <w:pPr>
        <w:pStyle w:val="0"/>
        <w:jc w:val="both"/>
      </w:pPr>
      <w:r>
        <w:rPr>
          <w:sz w:val="20"/>
        </w:rPr>
      </w:r>
    </w:p>
    <w:p>
      <w:pPr>
        <w:pStyle w:val="2"/>
        <w:jc w:val="center"/>
      </w:pPr>
      <w:r>
        <w:rPr>
          <w:sz w:val="20"/>
        </w:rPr>
        <w:t xml:space="preserve">АДМИНИСТРАТИВНЫЙ РЕГЛАМЕНТ</w:t>
      </w:r>
    </w:p>
    <w:p>
      <w:pPr>
        <w:pStyle w:val="2"/>
        <w:jc w:val="center"/>
      </w:pPr>
      <w:r>
        <w:rPr>
          <w:sz w:val="20"/>
        </w:rPr>
        <w:t xml:space="preserve">МИНИСТЕРСТВА ПРИРОДНЫХ РЕСУРСОВ И ЭКОЛОГИИ САРАТОВСКОЙ</w:t>
      </w:r>
    </w:p>
    <w:p>
      <w:pPr>
        <w:pStyle w:val="2"/>
        <w:jc w:val="center"/>
      </w:pPr>
      <w:r>
        <w:rPr>
          <w:sz w:val="20"/>
        </w:rPr>
        <w:t xml:space="preserve">ОБЛАСТИ ПО ПРЕДОСТАВЛЕНИЮ ГОСУДАРСТВЕННОЙ УСЛУГИ</w:t>
      </w:r>
    </w:p>
    <w:p>
      <w:pPr>
        <w:pStyle w:val="2"/>
        <w:jc w:val="center"/>
      </w:pPr>
      <w:r>
        <w:rPr>
          <w:sz w:val="20"/>
        </w:rPr>
        <w:t xml:space="preserve">"ОФОРМЛЕНИЕ, ГОСУДАРСТВЕННАЯ РЕГИСТРАЦИЯ И ВЫДАЧА ЛИЦЕНЗИЙ</w:t>
      </w:r>
    </w:p>
    <w:p>
      <w:pPr>
        <w:pStyle w:val="2"/>
        <w:jc w:val="center"/>
      </w:pPr>
      <w:r>
        <w:rPr>
          <w:sz w:val="20"/>
        </w:rPr>
        <w:t xml:space="preserve">НА ПОЛЬЗОВАНИЕ НЕДРАМИ, ВНЕСЕНИЕ ИЗМЕНЕНИЙ В ЛИЦЕНЗИИ</w:t>
      </w:r>
    </w:p>
    <w:p>
      <w:pPr>
        <w:pStyle w:val="2"/>
        <w:jc w:val="center"/>
      </w:pPr>
      <w:r>
        <w:rPr>
          <w:sz w:val="20"/>
        </w:rPr>
        <w:t xml:space="preserve">НА ПОЛЬЗОВАНИЕ НЕДРАМИ, ПЕРЕОФОРМЛЕНИЕ ЛИЦЕНЗИЙ</w:t>
      </w:r>
    </w:p>
    <w:p>
      <w:pPr>
        <w:pStyle w:val="2"/>
        <w:jc w:val="center"/>
      </w:pPr>
      <w:r>
        <w:rPr>
          <w:sz w:val="20"/>
        </w:rPr>
        <w:t xml:space="preserve">НА ПОЛЬЗОВАНИЕ НЕДРАМИ В ОТНОШЕНИИ УЧАСТКОВ НЕДР</w:t>
      </w:r>
    </w:p>
    <w:p>
      <w:pPr>
        <w:pStyle w:val="2"/>
        <w:jc w:val="center"/>
      </w:pPr>
      <w:r>
        <w:rPr>
          <w:sz w:val="20"/>
        </w:rPr>
        <w:t xml:space="preserve">МЕСТНОГО ЗНАЧЕНИЯ"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8" w:tooltip="Приказ министерства природных ресурсов и экологии Саратовской области от 16.07.2026 N 348 &quot;О внесении изменения в приказ министерства природных ресурсов и экологии Саратовской области от 17 июня 2014 года N 277&quot; {КонсультантПлюс}">
              <w:r>
                <w:rPr>
                  <w:sz w:val="20"/>
                  <w:color w:val="0000ff"/>
                </w:rPr>
                <w:t xml:space="preserve">приказа</w:t>
              </w:r>
            </w:hyperlink>
            <w:r>
              <w:rPr>
                <w:sz w:val="20"/>
                <w:color w:val="392c69"/>
              </w:rPr>
              <w:t xml:space="preserve"> министерства природных ресурсов и экологии Саратовской</w:t>
            </w:r>
          </w:p>
          <w:p>
            <w:pPr>
              <w:pStyle w:val="0"/>
              <w:jc w:val="center"/>
            </w:pPr>
            <w:r>
              <w:rPr>
                <w:sz w:val="20"/>
                <w:color w:val="392c69"/>
              </w:rPr>
              <w:t xml:space="preserve">области от 16.07.2026 N 348)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2"/>
        <w:outlineLvl w:val="2"/>
        <w:jc w:val="center"/>
      </w:pPr>
      <w:r>
        <w:rPr>
          <w:sz w:val="20"/>
        </w:rPr>
        <w:t xml:space="preserve">1.1. Предмет регулирования административного регламента</w:t>
      </w:r>
    </w:p>
    <w:p>
      <w:pPr>
        <w:pStyle w:val="0"/>
        <w:jc w:val="both"/>
      </w:pPr>
      <w:r>
        <w:rPr>
          <w:sz w:val="20"/>
        </w:rPr>
      </w:r>
    </w:p>
    <w:p>
      <w:pPr>
        <w:pStyle w:val="0"/>
        <w:ind w:firstLine="540"/>
        <w:jc w:val="both"/>
      </w:pPr>
      <w:r>
        <w:rPr>
          <w:sz w:val="20"/>
        </w:rPr>
        <w:t xml:space="preserve">Настоящий административный регламент определяет стандарт, сроки и последовательность административных процедур (действий) министерства природных ресурсов и экологии Саратовской области (далее - Министерство), порядок взаимодействия должностных лиц Министерства, иных органов государственной власти, организаций, а также взаимодействия Министерства с заявителями при предоставлении государственной услуги "Оформление, государственная регистрация и выдача лицензий на пользование недрами, внесение изменений в лицензии на пользование недрами, переоформление лицензий на пользование недрами в отношении участков недр местного значения" (далее - государственная услуга).</w:t>
      </w:r>
    </w:p>
    <w:p>
      <w:pPr>
        <w:pStyle w:val="0"/>
        <w:spacing w:before="200" w:lineRule="auto"/>
        <w:ind w:firstLine="540"/>
        <w:jc w:val="both"/>
      </w:pPr>
      <w:hyperlink w:history="0" w:anchor="P246" w:tooltip="1. Перечень условных обозначений и сокращений">
        <w:r>
          <w:rPr>
            <w:sz w:val="20"/>
            <w:color w:val="0000ff"/>
          </w:rPr>
          <w:t xml:space="preserve">Перечень</w:t>
        </w:r>
      </w:hyperlink>
      <w:r>
        <w:rPr>
          <w:sz w:val="20"/>
        </w:rPr>
        <w:t xml:space="preserve"> условных обозначений и сокращений приведен в приложении к административному регламенту.</w:t>
      </w:r>
    </w:p>
    <w:p>
      <w:pPr>
        <w:pStyle w:val="0"/>
        <w:jc w:val="both"/>
      </w:pPr>
      <w:r>
        <w:rPr>
          <w:sz w:val="20"/>
        </w:rPr>
      </w:r>
    </w:p>
    <w:p>
      <w:pPr>
        <w:pStyle w:val="2"/>
        <w:outlineLvl w:val="2"/>
        <w:jc w:val="center"/>
      </w:pPr>
      <w:r>
        <w:rPr>
          <w:sz w:val="20"/>
        </w:rPr>
        <w:t xml:space="preserve">1.2. Круг заявителей</w:t>
      </w:r>
    </w:p>
    <w:p>
      <w:pPr>
        <w:pStyle w:val="0"/>
        <w:jc w:val="both"/>
      </w:pPr>
      <w:r>
        <w:rPr>
          <w:sz w:val="20"/>
        </w:rPr>
      </w:r>
    </w:p>
    <w:p>
      <w:pPr>
        <w:pStyle w:val="0"/>
        <w:ind w:firstLine="540"/>
        <w:jc w:val="both"/>
      </w:pPr>
      <w:r>
        <w:rPr>
          <w:sz w:val="20"/>
        </w:rPr>
        <w:t xml:space="preserve">Заявителями на предоставление государственной услуги являются юридические лица, созданные в соответствии с законодательством Российской Федерации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индивидуальные предприниматели, являющиеся гражданами Российской Федерации, либо их уполномоченные представители, обратившиеся в орган, предоставляющий государственную услугу, с запросом (далее также - заявка) о предоставлении государственной услуги (далее - заявители).</w:t>
      </w:r>
    </w:p>
    <w:p>
      <w:pPr>
        <w:pStyle w:val="0"/>
        <w:jc w:val="both"/>
      </w:pPr>
      <w:r>
        <w:rPr>
          <w:sz w:val="20"/>
        </w:rPr>
      </w:r>
    </w:p>
    <w:p>
      <w:pPr>
        <w:pStyle w:val="2"/>
        <w:outlineLvl w:val="2"/>
        <w:jc w:val="center"/>
      </w:pPr>
      <w:r>
        <w:rPr>
          <w:sz w:val="20"/>
        </w:rPr>
        <w:t xml:space="preserve">1.3. Требование предоставления заявителю государственной</w:t>
      </w:r>
    </w:p>
    <w:p>
      <w:pPr>
        <w:pStyle w:val="2"/>
        <w:jc w:val="center"/>
      </w:pPr>
      <w:r>
        <w:rPr>
          <w:sz w:val="20"/>
        </w:rPr>
        <w:t xml:space="preserve">услуги в соответствии с категориями (признаками) заявителя,</w:t>
      </w:r>
    </w:p>
    <w:p>
      <w:pPr>
        <w:pStyle w:val="2"/>
        <w:jc w:val="center"/>
      </w:pPr>
      <w:r>
        <w:rPr>
          <w:sz w:val="20"/>
        </w:rPr>
        <w:t xml:space="preserve">сведения о которых размещаются в федеральной государственной</w:t>
      </w:r>
    </w:p>
    <w:p>
      <w:pPr>
        <w:pStyle w:val="2"/>
        <w:jc w:val="center"/>
      </w:pPr>
      <w:r>
        <w:rPr>
          <w:sz w:val="20"/>
        </w:rPr>
        <w:t xml:space="preserve">информационной системе "Федеральный реестр государственных</w:t>
      </w:r>
    </w:p>
    <w:p>
      <w:pPr>
        <w:pStyle w:val="2"/>
        <w:jc w:val="center"/>
      </w:pPr>
      <w:r>
        <w:rPr>
          <w:sz w:val="20"/>
        </w:rPr>
        <w:t xml:space="preserve">и муниципальных услуг (функций)" и в федеральной</w:t>
      </w:r>
    </w:p>
    <w:p>
      <w:pPr>
        <w:pStyle w:val="2"/>
        <w:jc w:val="center"/>
      </w:pPr>
      <w:r>
        <w:rPr>
          <w:sz w:val="20"/>
        </w:rPr>
        <w:t xml:space="preserve">государственной информационной системе "Единый портал</w:t>
      </w:r>
    </w:p>
    <w:p>
      <w:pPr>
        <w:pStyle w:val="2"/>
        <w:jc w:val="center"/>
      </w:pPr>
      <w:r>
        <w:rPr>
          <w:sz w:val="20"/>
        </w:rPr>
        <w:t xml:space="preserve">государственных и муниципальных услуг (функций)"</w:t>
      </w:r>
    </w:p>
    <w:p>
      <w:pPr>
        <w:pStyle w:val="0"/>
        <w:jc w:val="both"/>
      </w:pPr>
      <w:r>
        <w:rPr>
          <w:sz w:val="20"/>
        </w:rPr>
      </w:r>
    </w:p>
    <w:p>
      <w:pPr>
        <w:pStyle w:val="0"/>
        <w:ind w:firstLine="540"/>
        <w:jc w:val="both"/>
      </w:pPr>
      <w:r>
        <w:rPr>
          <w:sz w:val="20"/>
        </w:rPr>
        <w:t xml:space="preserve">Информация о порядке предоставления Государственной услуги и сведения о категориях (признаках) заявителей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реестр услуг и Единый портал соответственно).</w:t>
      </w:r>
    </w:p>
    <w:p>
      <w:pPr>
        <w:pStyle w:val="0"/>
        <w:spacing w:before="200" w:lineRule="auto"/>
        <w:ind w:firstLine="540"/>
        <w:jc w:val="both"/>
      </w:pPr>
      <w:r>
        <w:rPr>
          <w:sz w:val="20"/>
        </w:rPr>
        <w:t xml:space="preserve">Государственная услуга должна быть предоставлена заявителю в соответствии с категориями (признаками) заявителей, сведения о которых размещаются на Едином портале.</w:t>
      </w:r>
    </w:p>
    <w:p>
      <w:pPr>
        <w:pStyle w:val="0"/>
        <w:spacing w:before="200" w:lineRule="auto"/>
        <w:ind w:firstLine="540"/>
        <w:jc w:val="both"/>
      </w:pPr>
      <w:r>
        <w:rPr>
          <w:sz w:val="20"/>
        </w:rPr>
        <w:t xml:space="preserve">Категории (признаки) заявителя определяются путем профилирования заявителя посредством его анкетирования в соответствии с вопросами, приведенными в </w:t>
      </w:r>
      <w:hyperlink w:history="0" w:anchor="P277" w:tooltip="2. Профилирование заявителя">
        <w:r>
          <w:rPr>
            <w:sz w:val="20"/>
            <w:color w:val="0000ff"/>
          </w:rPr>
          <w:t xml:space="preserve">таблице N 1</w:t>
        </w:r>
      </w:hyperlink>
      <w:r>
        <w:rPr>
          <w:sz w:val="20"/>
        </w:rPr>
        <w:t xml:space="preserve"> приложения к административному регламенту.</w:t>
      </w:r>
    </w:p>
    <w:p>
      <w:pPr>
        <w:pStyle w:val="0"/>
        <w:jc w:val="both"/>
      </w:pPr>
      <w:r>
        <w:rPr>
          <w:sz w:val="20"/>
        </w:rPr>
      </w:r>
    </w:p>
    <w:p>
      <w:pPr>
        <w:pStyle w:val="2"/>
        <w:outlineLvl w:val="1"/>
        <w:jc w:val="center"/>
      </w:pPr>
      <w:r>
        <w:rPr>
          <w:sz w:val="20"/>
        </w:rPr>
        <w:t xml:space="preserve">II. Стандарт предоставления государственной услуги</w:t>
      </w:r>
    </w:p>
    <w:p>
      <w:pPr>
        <w:pStyle w:val="0"/>
        <w:jc w:val="both"/>
      </w:pPr>
      <w:r>
        <w:rPr>
          <w:sz w:val="20"/>
        </w:rPr>
      </w:r>
    </w:p>
    <w:p>
      <w:pPr>
        <w:pStyle w:val="2"/>
        <w:outlineLvl w:val="2"/>
        <w:jc w:val="center"/>
      </w:pPr>
      <w:r>
        <w:rPr>
          <w:sz w:val="20"/>
        </w:rPr>
        <w:t xml:space="preserve">2.1. Наименование государственной услуги</w:t>
      </w:r>
    </w:p>
    <w:p>
      <w:pPr>
        <w:pStyle w:val="0"/>
        <w:jc w:val="both"/>
      </w:pPr>
      <w:r>
        <w:rPr>
          <w:sz w:val="20"/>
        </w:rPr>
      </w:r>
    </w:p>
    <w:p>
      <w:pPr>
        <w:pStyle w:val="0"/>
        <w:ind w:firstLine="540"/>
        <w:jc w:val="both"/>
      </w:pPr>
      <w:r>
        <w:rPr>
          <w:sz w:val="20"/>
        </w:rPr>
        <w:t xml:space="preserve">Государственная услуга "Оформление, государственная регистрация и выдача лицензий на пользование недрами, внесение изменений в лицензии на пользование недрами, переоформление лицензий на пользование недрами в отношении участков недр местного значения".</w:t>
      </w:r>
    </w:p>
    <w:p>
      <w:pPr>
        <w:pStyle w:val="0"/>
        <w:jc w:val="both"/>
      </w:pPr>
      <w:r>
        <w:rPr>
          <w:sz w:val="20"/>
        </w:rPr>
      </w:r>
    </w:p>
    <w:p>
      <w:pPr>
        <w:pStyle w:val="2"/>
        <w:outlineLvl w:val="2"/>
        <w:jc w:val="center"/>
      </w:pPr>
      <w:r>
        <w:rPr>
          <w:sz w:val="20"/>
        </w:rPr>
        <w:t xml:space="preserve">2.2. Наименование органа, предоставляющего</w:t>
      </w:r>
    </w:p>
    <w:p>
      <w:pPr>
        <w:pStyle w:val="2"/>
        <w:jc w:val="center"/>
      </w:pPr>
      <w:r>
        <w:rPr>
          <w:sz w:val="20"/>
        </w:rPr>
        <w:t xml:space="preserve">государственную услугу</w:t>
      </w:r>
    </w:p>
    <w:p>
      <w:pPr>
        <w:pStyle w:val="0"/>
        <w:jc w:val="both"/>
      </w:pPr>
      <w:r>
        <w:rPr>
          <w:sz w:val="20"/>
        </w:rPr>
      </w:r>
    </w:p>
    <w:p>
      <w:pPr>
        <w:pStyle w:val="0"/>
        <w:ind w:firstLine="540"/>
        <w:jc w:val="both"/>
      </w:pPr>
      <w:r>
        <w:rPr>
          <w:sz w:val="20"/>
        </w:rPr>
        <w:t xml:space="preserve">Государственная услуга предоставляется министерством природных ресурсов и экологии Саратовской области.</w:t>
      </w:r>
    </w:p>
    <w:p>
      <w:pPr>
        <w:pStyle w:val="0"/>
        <w:jc w:val="both"/>
      </w:pPr>
      <w:r>
        <w:rPr>
          <w:sz w:val="20"/>
        </w:rPr>
      </w:r>
    </w:p>
    <w:p>
      <w:pPr>
        <w:pStyle w:val="2"/>
        <w:outlineLvl w:val="2"/>
        <w:jc w:val="center"/>
      </w:pPr>
      <w:r>
        <w:rPr>
          <w:sz w:val="20"/>
        </w:rPr>
        <w:t xml:space="preserve">2.3. Результат предоставления государственной услуги</w:t>
      </w:r>
    </w:p>
    <w:p>
      <w:pPr>
        <w:pStyle w:val="0"/>
        <w:jc w:val="both"/>
      </w:pPr>
      <w:r>
        <w:rPr>
          <w:sz w:val="20"/>
        </w:rPr>
      </w:r>
    </w:p>
    <w:p>
      <w:pPr>
        <w:pStyle w:val="0"/>
        <w:ind w:firstLine="540"/>
        <w:jc w:val="both"/>
      </w:pPr>
      <w:r>
        <w:rPr>
          <w:sz w:val="20"/>
        </w:rPr>
        <w:t xml:space="preserve">2.3.1. При обращении заявителя за оформлением, государственной регистрацией и выдачей лицензий на пользование недрами результатами предоставления государственной услуги являются:</w:t>
      </w:r>
    </w:p>
    <w:p>
      <w:pPr>
        <w:pStyle w:val="0"/>
        <w:spacing w:before="200" w:lineRule="auto"/>
        <w:ind w:firstLine="540"/>
        <w:jc w:val="both"/>
      </w:pPr>
      <w:r>
        <w:rPr>
          <w:sz w:val="20"/>
        </w:rPr>
        <w:t xml:space="preserve">лицензия на пользование недрами в виде электронного документа;</w:t>
      </w:r>
    </w:p>
    <w:p>
      <w:pPr>
        <w:pStyle w:val="0"/>
        <w:spacing w:before="200" w:lineRule="auto"/>
        <w:ind w:firstLine="540"/>
        <w:jc w:val="both"/>
      </w:pPr>
      <w:r>
        <w:rPr>
          <w:sz w:val="20"/>
        </w:rPr>
        <w:t xml:space="preserve">отказ в предоставлении права пользования недрами;</w:t>
      </w:r>
    </w:p>
    <w:p>
      <w:pPr>
        <w:pStyle w:val="0"/>
        <w:spacing w:before="200" w:lineRule="auto"/>
        <w:ind w:firstLine="540"/>
        <w:jc w:val="both"/>
      </w:pPr>
      <w:r>
        <w:rPr>
          <w:sz w:val="20"/>
        </w:rPr>
        <w:t xml:space="preserve">отказ в приеме заявки на получение права пользования недрами.</w:t>
      </w:r>
    </w:p>
    <w:p>
      <w:pPr>
        <w:pStyle w:val="0"/>
        <w:spacing w:before="200" w:lineRule="auto"/>
        <w:ind w:firstLine="540"/>
        <w:jc w:val="both"/>
      </w:pPr>
      <w:r>
        <w:rPr>
          <w:sz w:val="20"/>
        </w:rPr>
        <w:t xml:space="preserve">2.3.2. При обращении заявителя за внесением изменений в лицензии на пользование недрами результатами предоставления государственной услуги являются:</w:t>
      </w:r>
    </w:p>
    <w:p>
      <w:pPr>
        <w:pStyle w:val="0"/>
        <w:spacing w:before="200" w:lineRule="auto"/>
        <w:ind w:firstLine="540"/>
        <w:jc w:val="both"/>
      </w:pPr>
      <w:r>
        <w:rPr>
          <w:sz w:val="20"/>
        </w:rPr>
        <w:t xml:space="preserve">приложение к лицензии на пользование недрами в виде электронного документа;</w:t>
      </w:r>
    </w:p>
    <w:p>
      <w:pPr>
        <w:pStyle w:val="0"/>
        <w:spacing w:before="200" w:lineRule="auto"/>
        <w:ind w:firstLine="540"/>
        <w:jc w:val="both"/>
      </w:pPr>
      <w:r>
        <w:rPr>
          <w:sz w:val="20"/>
        </w:rPr>
        <w:t xml:space="preserve">уведомление об отказе во внесении изменений в лицензию на пользование недрами.</w:t>
      </w:r>
    </w:p>
    <w:p>
      <w:pPr>
        <w:pStyle w:val="0"/>
        <w:spacing w:before="200" w:lineRule="auto"/>
        <w:ind w:firstLine="540"/>
        <w:jc w:val="both"/>
      </w:pPr>
      <w:r>
        <w:rPr>
          <w:sz w:val="20"/>
        </w:rPr>
        <w:t xml:space="preserve">2.3.3. При обращении заявителя за переоформлением лицензий на пользование недрами в отношении участков недр местного значения результатами предоставления государственной услуги являются:</w:t>
      </w:r>
    </w:p>
    <w:p>
      <w:pPr>
        <w:pStyle w:val="0"/>
        <w:spacing w:before="200" w:lineRule="auto"/>
        <w:ind w:firstLine="540"/>
        <w:jc w:val="both"/>
      </w:pPr>
      <w:r>
        <w:rPr>
          <w:sz w:val="20"/>
        </w:rPr>
        <w:t xml:space="preserve">переоформленная лицензия на пользование недрами в виде электронного документа;</w:t>
      </w:r>
    </w:p>
    <w:p>
      <w:pPr>
        <w:pStyle w:val="0"/>
        <w:spacing w:before="200" w:lineRule="auto"/>
        <w:ind w:firstLine="540"/>
        <w:jc w:val="both"/>
      </w:pPr>
      <w:r>
        <w:rPr>
          <w:sz w:val="20"/>
        </w:rPr>
        <w:t xml:space="preserve">уведомление об отказе в переоформлении лицензии на пользование недрами.</w:t>
      </w:r>
    </w:p>
    <w:p>
      <w:pPr>
        <w:pStyle w:val="0"/>
        <w:spacing w:before="200" w:lineRule="auto"/>
        <w:ind w:firstLine="540"/>
        <w:jc w:val="both"/>
      </w:pPr>
      <w:r>
        <w:rPr>
          <w:sz w:val="20"/>
        </w:rPr>
        <w:t xml:space="preserve">2.3.4. Информационная система, в которой фиксируется реестровая запись о выдаче лицензий на пользование недрами, внесении изменений в лицензии на пользование недрами, переоформлении лицензий на пользование недрами в отношении участков недр местного значения отсутствует.</w:t>
      </w:r>
    </w:p>
    <w:p>
      <w:pPr>
        <w:pStyle w:val="0"/>
        <w:spacing w:before="200" w:lineRule="auto"/>
        <w:ind w:firstLine="540"/>
        <w:jc w:val="both"/>
      </w:pPr>
      <w:r>
        <w:rPr>
          <w:sz w:val="20"/>
        </w:rPr>
        <w:t xml:space="preserve">2.3.5. Перечень способов получения результата (результатов) предоставления государственной услуги:</w:t>
      </w:r>
    </w:p>
    <w:p>
      <w:pPr>
        <w:pStyle w:val="0"/>
        <w:spacing w:before="200" w:lineRule="auto"/>
        <w:ind w:firstLine="540"/>
        <w:jc w:val="both"/>
      </w:pPr>
      <w:r>
        <w:rPr>
          <w:sz w:val="20"/>
        </w:rPr>
        <w:t xml:space="preserve">электронная почта;</w:t>
      </w:r>
    </w:p>
    <w:p>
      <w:pPr>
        <w:pStyle w:val="0"/>
        <w:spacing w:before="200" w:lineRule="auto"/>
        <w:ind w:firstLine="540"/>
        <w:jc w:val="both"/>
      </w:pPr>
      <w:r>
        <w:rPr>
          <w:sz w:val="20"/>
        </w:rPr>
        <w:t xml:space="preserve">в личном кабинете недропользователя в федеральной государственной информационной системе "Портал государственных услуг и функций Роснедра" (далее - личный кабинет недропользователя);</w:t>
      </w:r>
    </w:p>
    <w:p>
      <w:pPr>
        <w:pStyle w:val="0"/>
        <w:spacing w:before="200" w:lineRule="auto"/>
        <w:ind w:firstLine="540"/>
        <w:jc w:val="both"/>
      </w:pPr>
      <w:r>
        <w:rPr>
          <w:sz w:val="20"/>
        </w:rPr>
        <w:t xml:space="preserve">непосредственно в Министерстве.</w:t>
      </w:r>
    </w:p>
    <w:p>
      <w:pPr>
        <w:pStyle w:val="0"/>
        <w:jc w:val="both"/>
      </w:pPr>
      <w:r>
        <w:rPr>
          <w:sz w:val="20"/>
        </w:rPr>
      </w:r>
    </w:p>
    <w:p>
      <w:pPr>
        <w:pStyle w:val="2"/>
        <w:outlineLvl w:val="2"/>
        <w:jc w:val="center"/>
      </w:pPr>
      <w:r>
        <w:rPr>
          <w:sz w:val="20"/>
        </w:rPr>
        <w:t xml:space="preserve">2.4. Срок предоставления государственной услуги</w:t>
      </w:r>
    </w:p>
    <w:p>
      <w:pPr>
        <w:pStyle w:val="0"/>
        <w:jc w:val="both"/>
      </w:pPr>
      <w:r>
        <w:rPr>
          <w:sz w:val="20"/>
        </w:rPr>
      </w:r>
    </w:p>
    <w:p>
      <w:pPr>
        <w:pStyle w:val="0"/>
        <w:ind w:firstLine="540"/>
        <w:jc w:val="both"/>
      </w:pPr>
      <w:r>
        <w:rPr>
          <w:sz w:val="20"/>
        </w:rPr>
        <w:t xml:space="preserve">Максимальный срок предоставления государственной услуги, исчисляемый с даты регистрации запроса и документов и (или) информации, необходимых для предоставления государственной услуги, составляет 45 рабочих дней.</w:t>
      </w:r>
    </w:p>
    <w:p>
      <w:pPr>
        <w:pStyle w:val="0"/>
        <w:jc w:val="both"/>
      </w:pPr>
      <w:r>
        <w:rPr>
          <w:sz w:val="20"/>
        </w:rPr>
      </w:r>
    </w:p>
    <w:p>
      <w:pPr>
        <w:pStyle w:val="2"/>
        <w:outlineLvl w:val="2"/>
        <w:jc w:val="center"/>
      </w:pPr>
      <w:r>
        <w:rPr>
          <w:sz w:val="20"/>
        </w:rPr>
        <w:t xml:space="preserve">2.5. Размер платы, взимаемой с заявителя при предоставлении</w:t>
      </w:r>
    </w:p>
    <w:p>
      <w:pPr>
        <w:pStyle w:val="2"/>
        <w:jc w:val="center"/>
      </w:pPr>
      <w:r>
        <w:rPr>
          <w:sz w:val="20"/>
        </w:rPr>
        <w:t xml:space="preserve">государственной услуги, и способы ее взимания</w:t>
      </w:r>
    </w:p>
    <w:p>
      <w:pPr>
        <w:pStyle w:val="0"/>
        <w:jc w:val="both"/>
      </w:pPr>
      <w:r>
        <w:rPr>
          <w:sz w:val="20"/>
        </w:rPr>
      </w:r>
    </w:p>
    <w:p>
      <w:pPr>
        <w:pStyle w:val="0"/>
        <w:ind w:firstLine="540"/>
        <w:jc w:val="both"/>
      </w:pPr>
      <w:r>
        <w:rPr>
          <w:sz w:val="20"/>
        </w:rPr>
        <w:t xml:space="preserve">Информация о размере государственной пошлины за предоставление государственной услуги размещается на официальном сайте Министерства и Едином портале.</w:t>
      </w:r>
    </w:p>
    <w:p>
      <w:pPr>
        <w:pStyle w:val="0"/>
        <w:spacing w:before="200" w:lineRule="auto"/>
        <w:ind w:firstLine="540"/>
        <w:jc w:val="both"/>
      </w:pPr>
      <w:r>
        <w:rPr>
          <w:sz w:val="20"/>
        </w:rPr>
        <w:t xml:space="preserve">Уплата государственной пошлины за предоставление лицензии, внесение изменений в лицензию, переоформление лицензии осуществляется в размерах, установленных </w:t>
      </w:r>
      <w:hyperlink w:history="0" r:id="rId49" w:tooltip="&quot;Налоговый кодекс Российской Федерации (часть вторая)&quot; от 05.08.2000 N 117-ФЗ (ред. от 04.07.2026, с изм. от 21.07.2026) (с изм. и доп., вступ. в силу с 26.07.2026) {КонсультантПлюс}">
        <w:r>
          <w:rPr>
            <w:sz w:val="20"/>
            <w:color w:val="0000ff"/>
          </w:rPr>
          <w:t xml:space="preserve">подпунктом 92 пункта 1 статьи 333.33</w:t>
        </w:r>
      </w:hyperlink>
      <w:r>
        <w:rPr>
          <w:sz w:val="20"/>
        </w:rPr>
        <w:t xml:space="preserve"> Налогового кодекса Российской Федерации.</w:t>
      </w:r>
    </w:p>
    <w:p>
      <w:pPr>
        <w:pStyle w:val="0"/>
        <w:spacing w:before="200" w:lineRule="auto"/>
        <w:ind w:firstLine="540"/>
        <w:jc w:val="both"/>
      </w:pPr>
      <w:r>
        <w:rPr>
          <w:sz w:val="20"/>
        </w:rPr>
        <w:t xml:space="preserve">Государственная пошлина за предоставление государственной услуги уплачивается заявителем до подачи заявки.</w:t>
      </w:r>
    </w:p>
    <w:p>
      <w:pPr>
        <w:pStyle w:val="0"/>
        <w:spacing w:before="200" w:lineRule="auto"/>
        <w:ind w:firstLine="540"/>
        <w:jc w:val="both"/>
      </w:pPr>
      <w:r>
        <w:rPr>
          <w:sz w:val="20"/>
        </w:rPr>
        <w:t xml:space="preserve">Образец платежного </w:t>
      </w:r>
      <w:hyperlink w:history="0" w:anchor="P948" w:tooltip="Образец платежного поручения">
        <w:r>
          <w:rPr>
            <w:sz w:val="20"/>
            <w:color w:val="0000ff"/>
          </w:rPr>
          <w:t xml:space="preserve">поручения</w:t>
        </w:r>
      </w:hyperlink>
      <w:r>
        <w:rPr>
          <w:sz w:val="20"/>
        </w:rPr>
        <w:t xml:space="preserve"> для внесения государственной пошлины за предоставление государственной услуги приведен в приложении к настоящему административному регламенту.</w:t>
      </w:r>
    </w:p>
    <w:p>
      <w:pPr>
        <w:pStyle w:val="0"/>
        <w:jc w:val="both"/>
      </w:pPr>
      <w:r>
        <w:rPr>
          <w:sz w:val="20"/>
        </w:rPr>
      </w:r>
    </w:p>
    <w:p>
      <w:pPr>
        <w:pStyle w:val="2"/>
        <w:outlineLvl w:val="2"/>
        <w:jc w:val="center"/>
      </w:pPr>
      <w:r>
        <w:rPr>
          <w:sz w:val="20"/>
        </w:rPr>
        <w:t xml:space="preserve">2.6. Максимальный срок ожидания в очереди при подаче</w:t>
      </w:r>
    </w:p>
    <w:p>
      <w:pPr>
        <w:pStyle w:val="2"/>
        <w:jc w:val="center"/>
      </w:pPr>
      <w:r>
        <w:rPr>
          <w:sz w:val="20"/>
        </w:rPr>
        <w:t xml:space="preserve">заявителем запроса о предоставлении государственной услуги</w:t>
      </w:r>
    </w:p>
    <w:p>
      <w:pPr>
        <w:pStyle w:val="2"/>
        <w:jc w:val="center"/>
      </w:pPr>
      <w:r>
        <w:rPr>
          <w:sz w:val="20"/>
        </w:rPr>
        <w:t xml:space="preserve">и при получении результата предоставления</w:t>
      </w:r>
    </w:p>
    <w:p>
      <w:pPr>
        <w:pStyle w:val="2"/>
        <w:jc w:val="center"/>
      </w:pPr>
      <w:r>
        <w:rPr>
          <w:sz w:val="20"/>
        </w:rPr>
        <w:t xml:space="preserve">государственной услуги</w:t>
      </w:r>
    </w:p>
    <w:p>
      <w:pPr>
        <w:pStyle w:val="0"/>
        <w:jc w:val="both"/>
      </w:pPr>
      <w:r>
        <w:rPr>
          <w:sz w:val="20"/>
        </w:rPr>
      </w:r>
    </w:p>
    <w:p>
      <w:pPr>
        <w:pStyle w:val="0"/>
        <w:ind w:firstLine="540"/>
        <w:jc w:val="both"/>
      </w:pPr>
      <w:r>
        <w:rPr>
          <w:sz w:val="20"/>
        </w:rPr>
        <w:t xml:space="preserve">Максимальный срок ожидания в очереди при подаче заявителем запроса о предоставлении государственной услуги непосредственно в Министерство составляет 15 минут.</w:t>
      </w:r>
    </w:p>
    <w:p>
      <w:pPr>
        <w:pStyle w:val="0"/>
        <w:spacing w:before="200" w:lineRule="auto"/>
        <w:ind w:firstLine="540"/>
        <w:jc w:val="both"/>
      </w:pPr>
      <w:r>
        <w:rPr>
          <w:sz w:val="20"/>
        </w:rPr>
        <w:t xml:space="preserve">Максимальный срок ожидания в очереди при получении результата предоставления государственной услуги непосредственно в Министерстве составляет 15 минут.</w:t>
      </w:r>
    </w:p>
    <w:p>
      <w:pPr>
        <w:pStyle w:val="0"/>
        <w:jc w:val="both"/>
      </w:pPr>
      <w:r>
        <w:rPr>
          <w:sz w:val="20"/>
        </w:rPr>
      </w:r>
    </w:p>
    <w:p>
      <w:pPr>
        <w:pStyle w:val="2"/>
        <w:outlineLvl w:val="2"/>
        <w:jc w:val="center"/>
      </w:pPr>
      <w:r>
        <w:rPr>
          <w:sz w:val="20"/>
        </w:rPr>
        <w:t xml:space="preserve">2.7. Срок регистрации запроса заявителя о предоставлении</w:t>
      </w:r>
    </w:p>
    <w:p>
      <w:pPr>
        <w:pStyle w:val="2"/>
        <w:jc w:val="center"/>
      </w:pPr>
      <w:r>
        <w:rPr>
          <w:sz w:val="20"/>
        </w:rPr>
        <w:t xml:space="preserve">государственной услуги</w:t>
      </w:r>
    </w:p>
    <w:p>
      <w:pPr>
        <w:pStyle w:val="0"/>
        <w:jc w:val="both"/>
      </w:pPr>
      <w:r>
        <w:rPr>
          <w:sz w:val="20"/>
        </w:rPr>
      </w:r>
    </w:p>
    <w:p>
      <w:pPr>
        <w:pStyle w:val="0"/>
        <w:ind w:firstLine="540"/>
        <w:jc w:val="both"/>
      </w:pPr>
      <w:r>
        <w:rPr>
          <w:sz w:val="20"/>
        </w:rPr>
        <w:t xml:space="preserve">Срок регистрации запроса о предоставлении государственной услуги независимо от способа его подачи, исчисляемый с даты его подачи, составляет 1 рабочий день.</w:t>
      </w:r>
    </w:p>
    <w:p>
      <w:pPr>
        <w:pStyle w:val="0"/>
        <w:jc w:val="both"/>
      </w:pPr>
      <w:r>
        <w:rPr>
          <w:sz w:val="20"/>
        </w:rPr>
      </w:r>
    </w:p>
    <w:p>
      <w:pPr>
        <w:pStyle w:val="2"/>
        <w:outlineLvl w:val="2"/>
        <w:jc w:val="center"/>
      </w:pPr>
      <w:r>
        <w:rPr>
          <w:sz w:val="20"/>
        </w:rPr>
        <w:t xml:space="preserve">2.8. Требования к помещениям, в которых предоставляется</w:t>
      </w:r>
    </w:p>
    <w:p>
      <w:pPr>
        <w:pStyle w:val="2"/>
        <w:jc w:val="center"/>
      </w:pPr>
      <w:r>
        <w:rPr>
          <w:sz w:val="20"/>
        </w:rPr>
        <w:t xml:space="preserve">государственная услуга</w:t>
      </w:r>
    </w:p>
    <w:p>
      <w:pPr>
        <w:pStyle w:val="0"/>
        <w:jc w:val="both"/>
      </w:pPr>
      <w:r>
        <w:rPr>
          <w:sz w:val="20"/>
        </w:rPr>
      </w:r>
    </w:p>
    <w:p>
      <w:pPr>
        <w:pStyle w:val="0"/>
        <w:ind w:firstLine="540"/>
        <w:jc w:val="both"/>
      </w:pPr>
      <w:r>
        <w:rPr>
          <w:sz w:val="20"/>
        </w:rPr>
        <w:t xml:space="preserve">Требования, которым должны соответствовать помещения, в которых предоставляется Государственная услуга, размещены на официальном сайте Министерства по адресу: </w:t>
      </w:r>
      <w:hyperlink w:history="0" r:id="rId50">
        <w:r>
          <w:rPr>
            <w:sz w:val="20"/>
            <w:color w:val="0000ff"/>
          </w:rPr>
          <w:t xml:space="preserve">https://minforest.saratov.gov.ru/</w:t>
        </w:r>
      </w:hyperlink>
      <w:r>
        <w:rPr>
          <w:sz w:val="20"/>
        </w:rPr>
        <w:t xml:space="preserve"> в сети "Интернет" и на Едином портале государственных и муниципальных услуг по адресу: </w:t>
      </w:r>
      <w:hyperlink w:history="0" r:id="rId51">
        <w:r>
          <w:rPr>
            <w:sz w:val="20"/>
            <w:color w:val="0000ff"/>
          </w:rPr>
          <w:t xml:space="preserve">https://www.gosuslugi.ru/</w:t>
        </w:r>
      </w:hyperlink>
      <w:r>
        <w:rPr>
          <w:sz w:val="20"/>
        </w:rPr>
        <w:t xml:space="preserve">.</w:t>
      </w:r>
    </w:p>
    <w:p>
      <w:pPr>
        <w:pStyle w:val="0"/>
        <w:spacing w:before="200" w:lineRule="auto"/>
        <w:ind w:firstLine="540"/>
        <w:jc w:val="both"/>
      </w:pPr>
      <w:r>
        <w:rPr>
          <w:sz w:val="20"/>
        </w:rPr>
        <w:t xml:space="preserve">В помещении Министерства для приема документов, необходимых для предоставления Государственной услуги, оборудован информационный стенд с нормативными правовыми актами, регламентирующими порядок предоставления Государственной услуги, а также размещена информация о необходимых документах, сроках предоставления Государственной услуги.</w:t>
      </w:r>
    </w:p>
    <w:p>
      <w:pPr>
        <w:pStyle w:val="0"/>
        <w:jc w:val="both"/>
      </w:pPr>
      <w:r>
        <w:rPr>
          <w:sz w:val="20"/>
        </w:rPr>
      </w:r>
    </w:p>
    <w:p>
      <w:pPr>
        <w:pStyle w:val="2"/>
        <w:outlineLvl w:val="2"/>
        <w:jc w:val="center"/>
      </w:pPr>
      <w:r>
        <w:rPr>
          <w:sz w:val="20"/>
        </w:rPr>
        <w:t xml:space="preserve">2.9. Показатели доступности и качества</w:t>
      </w:r>
    </w:p>
    <w:p>
      <w:pPr>
        <w:pStyle w:val="2"/>
        <w:jc w:val="center"/>
      </w:pPr>
      <w:r>
        <w:rPr>
          <w:sz w:val="20"/>
        </w:rPr>
        <w:t xml:space="preserve">государственной услуги</w:t>
      </w:r>
    </w:p>
    <w:p>
      <w:pPr>
        <w:pStyle w:val="0"/>
        <w:jc w:val="both"/>
      </w:pPr>
      <w:r>
        <w:rPr>
          <w:sz w:val="20"/>
        </w:rPr>
      </w:r>
    </w:p>
    <w:p>
      <w:pPr>
        <w:pStyle w:val="0"/>
        <w:ind w:firstLine="540"/>
        <w:jc w:val="both"/>
      </w:pPr>
      <w:r>
        <w:rPr>
          <w:sz w:val="20"/>
        </w:rPr>
        <w:t xml:space="preserve">Перечень показателей качества и доступности Государственной услуги размещен на официальном сайте Министерства по адресу: </w:t>
      </w:r>
      <w:hyperlink w:history="0" r:id="rId52">
        <w:r>
          <w:rPr>
            <w:sz w:val="20"/>
            <w:color w:val="0000ff"/>
          </w:rPr>
          <w:t xml:space="preserve">https://minforest.saratov.gov.ru/</w:t>
        </w:r>
      </w:hyperlink>
      <w:r>
        <w:rPr>
          <w:sz w:val="20"/>
        </w:rPr>
        <w:t xml:space="preserve"> в сети "Интернет" и на Едином портале государственных и муниципальных услуг по адресу: </w:t>
      </w:r>
      <w:hyperlink w:history="0" r:id="rId53">
        <w:r>
          <w:rPr>
            <w:sz w:val="20"/>
            <w:color w:val="0000ff"/>
          </w:rPr>
          <w:t xml:space="preserve">https://www.gosuslugi.ru/</w:t>
        </w:r>
      </w:hyperlink>
      <w:r>
        <w:rPr>
          <w:sz w:val="20"/>
        </w:rPr>
        <w:t xml:space="preserve">.</w:t>
      </w:r>
    </w:p>
    <w:p>
      <w:pPr>
        <w:pStyle w:val="0"/>
        <w:jc w:val="both"/>
      </w:pPr>
      <w:r>
        <w:rPr>
          <w:sz w:val="20"/>
        </w:rPr>
      </w:r>
    </w:p>
    <w:p>
      <w:pPr>
        <w:pStyle w:val="2"/>
        <w:outlineLvl w:val="2"/>
        <w:jc w:val="center"/>
      </w:pPr>
      <w:r>
        <w:rPr>
          <w:sz w:val="20"/>
        </w:rPr>
        <w:t xml:space="preserve">2.10. Иные требования к предоставлению Государственной</w:t>
      </w:r>
    </w:p>
    <w:p>
      <w:pPr>
        <w:pStyle w:val="2"/>
        <w:jc w:val="center"/>
      </w:pPr>
      <w:r>
        <w:rPr>
          <w:sz w:val="20"/>
        </w:rPr>
        <w:t xml:space="preserve">услуги, в том числе учитывающие особенности предоставления</w:t>
      </w:r>
    </w:p>
    <w:p>
      <w:pPr>
        <w:pStyle w:val="2"/>
        <w:jc w:val="center"/>
      </w:pPr>
      <w:r>
        <w:rPr>
          <w:sz w:val="20"/>
        </w:rPr>
        <w:t xml:space="preserve">государственных и муниципальных услуг в многофункциональных</w:t>
      </w:r>
    </w:p>
    <w:p>
      <w:pPr>
        <w:pStyle w:val="2"/>
        <w:jc w:val="center"/>
      </w:pPr>
      <w:r>
        <w:rPr>
          <w:sz w:val="20"/>
        </w:rPr>
        <w:t xml:space="preserve">центрах и особенности предоставления государственных</w:t>
      </w:r>
    </w:p>
    <w:p>
      <w:pPr>
        <w:pStyle w:val="2"/>
        <w:jc w:val="center"/>
      </w:pPr>
      <w:r>
        <w:rPr>
          <w:sz w:val="20"/>
        </w:rPr>
        <w:t xml:space="preserve">и муниципальных услуг в электронной форме</w:t>
      </w:r>
    </w:p>
    <w:p>
      <w:pPr>
        <w:pStyle w:val="0"/>
        <w:jc w:val="both"/>
      </w:pPr>
      <w:r>
        <w:rPr>
          <w:sz w:val="20"/>
        </w:rPr>
      </w:r>
    </w:p>
    <w:p>
      <w:pPr>
        <w:pStyle w:val="0"/>
        <w:ind w:firstLine="540"/>
        <w:jc w:val="both"/>
      </w:pPr>
      <w:r>
        <w:rPr>
          <w:sz w:val="20"/>
        </w:rPr>
        <w:t xml:space="preserve">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pPr>
        <w:pStyle w:val="0"/>
        <w:spacing w:before="200" w:lineRule="auto"/>
        <w:ind w:firstLine="540"/>
        <w:jc w:val="both"/>
      </w:pPr>
      <w:r>
        <w:rPr>
          <w:sz w:val="20"/>
        </w:rPr>
        <w:t xml:space="preserve">2.10.2. Информационные системы, используемые для предоставления государственной услуги: региональная система межведомственного электронного взаимодействия Саратовской области; государственная информационная система о государственных и муниципальных платежах (далее - ГИС ГМП); личный кабинет недропользователя в федеральной государственной информационной системе "Портал государственных услуг и функций Роснедра" (</w:t>
      </w:r>
      <w:hyperlink w:history="0" r:id="rId54">
        <w:r>
          <w:rPr>
            <w:sz w:val="20"/>
            <w:color w:val="0000ff"/>
          </w:rPr>
          <w:t xml:space="preserve">https://lk.rosnedra.gov.ru/subsoil/</w:t>
        </w:r>
      </w:hyperlink>
      <w:r>
        <w:rPr>
          <w:sz w:val="20"/>
        </w:rPr>
        <w:t xml:space="preserve">);</w:t>
      </w:r>
    </w:p>
    <w:p>
      <w:pPr>
        <w:pStyle w:val="0"/>
        <w:spacing w:before="200" w:lineRule="auto"/>
        <w:ind w:firstLine="540"/>
        <w:jc w:val="both"/>
      </w:pPr>
      <w:r>
        <w:rPr>
          <w:sz w:val="20"/>
        </w:rPr>
        <w:t xml:space="preserve">федеральная государственная информационная система "Автоматизированная система лицензирования недропользования";</w:t>
      </w:r>
    </w:p>
    <w:p>
      <w:pPr>
        <w:pStyle w:val="0"/>
        <w:spacing w:before="200" w:lineRule="auto"/>
        <w:ind w:firstLine="540"/>
        <w:jc w:val="both"/>
      </w:pPr>
      <w:r>
        <w:rPr>
          <w:sz w:val="20"/>
        </w:rPr>
        <w:t xml:space="preserve">Единый государственный реестр юридических лиц;</w:t>
      </w:r>
    </w:p>
    <w:p>
      <w:pPr>
        <w:pStyle w:val="0"/>
        <w:spacing w:before="200" w:lineRule="auto"/>
        <w:ind w:firstLine="540"/>
        <w:jc w:val="both"/>
      </w:pPr>
      <w:r>
        <w:rPr>
          <w:sz w:val="20"/>
        </w:rPr>
        <w:t xml:space="preserve">Единый государственный реестр индивидуальных предпринимателей;</w:t>
      </w:r>
    </w:p>
    <w:p>
      <w:pPr>
        <w:pStyle w:val="0"/>
        <w:spacing w:before="200" w:lineRule="auto"/>
        <w:ind w:firstLine="540"/>
        <w:jc w:val="both"/>
      </w:pPr>
      <w:r>
        <w:rPr>
          <w:sz w:val="20"/>
        </w:rPr>
        <w:t xml:space="preserve">Реестр санитарно-эпидемиологических заключений о соответствии (несоответствии) видов деятельности (работ, услуг) требованиям государственных санитарно-эпидемиологических правил и нормативов.</w:t>
      </w:r>
    </w:p>
    <w:p>
      <w:pPr>
        <w:pStyle w:val="0"/>
        <w:spacing w:before="200" w:lineRule="auto"/>
        <w:ind w:firstLine="540"/>
        <w:jc w:val="both"/>
      </w:pPr>
      <w:r>
        <w:rPr>
          <w:sz w:val="20"/>
        </w:rPr>
        <w:t xml:space="preserve">2.10.3. Предоставление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невозможно.</w:t>
      </w:r>
    </w:p>
    <w:p>
      <w:pPr>
        <w:pStyle w:val="0"/>
        <w:spacing w:before="200" w:lineRule="auto"/>
        <w:ind w:firstLine="540"/>
        <w:jc w:val="both"/>
      </w:pPr>
      <w:r>
        <w:rPr>
          <w:sz w:val="20"/>
        </w:rPr>
        <w:t xml:space="preserve">2.10.4. Возможность подачи запроса в многофункциональный центр предоставления государственных и муниципальных услуг (далее - многофункциональный центр) отсутствует.</w:t>
      </w:r>
    </w:p>
    <w:p>
      <w:pPr>
        <w:pStyle w:val="0"/>
        <w:spacing w:before="200" w:lineRule="auto"/>
        <w:ind w:firstLine="540"/>
        <w:jc w:val="both"/>
      </w:pPr>
      <w:r>
        <w:rPr>
          <w:sz w:val="20"/>
        </w:rPr>
        <w:t xml:space="preserve">2.10.5. Возможность выдачи заявителю результата предоставления государственной услуги в многофункциональном центре не предусмотрена.</w:t>
      </w:r>
    </w:p>
    <w:p>
      <w:pPr>
        <w:pStyle w:val="0"/>
        <w:jc w:val="both"/>
      </w:pPr>
      <w:r>
        <w:rPr>
          <w:sz w:val="20"/>
        </w:rPr>
      </w:r>
    </w:p>
    <w:p>
      <w:pPr>
        <w:pStyle w:val="2"/>
        <w:outlineLvl w:val="2"/>
        <w:jc w:val="center"/>
      </w:pPr>
      <w:r>
        <w:rPr>
          <w:sz w:val="20"/>
        </w:rPr>
        <w:t xml:space="preserve">2.11. Исчерпывающий перечень документов, необходимых</w:t>
      </w:r>
    </w:p>
    <w:p>
      <w:pPr>
        <w:pStyle w:val="2"/>
        <w:jc w:val="center"/>
      </w:pPr>
      <w:r>
        <w:rPr>
          <w:sz w:val="20"/>
        </w:rPr>
        <w:t xml:space="preserve">для предоставления государственной услуги</w:t>
      </w:r>
    </w:p>
    <w:p>
      <w:pPr>
        <w:pStyle w:val="0"/>
        <w:jc w:val="both"/>
      </w:pPr>
      <w:r>
        <w:rPr>
          <w:sz w:val="20"/>
        </w:rPr>
      </w:r>
    </w:p>
    <w:p>
      <w:pPr>
        <w:pStyle w:val="0"/>
        <w:ind w:firstLine="540"/>
        <w:jc w:val="both"/>
      </w:pPr>
      <w:r>
        <w:rPr>
          <w:sz w:val="20"/>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w:history="0" w:anchor="P325" w:tooltip="4. Исчерпывающий перечень документов, необходимых">
        <w:r>
          <w:rPr>
            <w:sz w:val="20"/>
            <w:color w:val="0000ff"/>
          </w:rPr>
          <w:t xml:space="preserve">таблице N 3</w:t>
        </w:r>
      </w:hyperlink>
      <w:r>
        <w:rPr>
          <w:sz w:val="20"/>
        </w:rPr>
        <w:t xml:space="preserve"> приложения к административному регламенту.</w:t>
      </w:r>
    </w:p>
    <w:p>
      <w:pPr>
        <w:pStyle w:val="0"/>
        <w:spacing w:before="200" w:lineRule="auto"/>
        <w:ind w:firstLine="540"/>
        <w:jc w:val="both"/>
      </w:pPr>
      <w:r>
        <w:rPr>
          <w:sz w:val="20"/>
        </w:rPr>
        <w:t xml:space="preserve">Формы </w:t>
      </w:r>
      <w:hyperlink w:history="0" w:anchor="P621" w:tooltip="5. Формы запросов, необходимых для предоставления">
        <w:r>
          <w:rPr>
            <w:sz w:val="20"/>
            <w:color w:val="0000ff"/>
          </w:rPr>
          <w:t xml:space="preserve">запросов</w:t>
        </w:r>
      </w:hyperlink>
      <w:r>
        <w:rPr>
          <w:sz w:val="20"/>
        </w:rPr>
        <w:t xml:space="preserve"> о предоставлении государственной услуги и документов, необходимых для предоставления государственной услуги, приведены в приложении к административному регламенту.</w:t>
      </w:r>
    </w:p>
    <w:p>
      <w:pPr>
        <w:pStyle w:val="0"/>
        <w:jc w:val="both"/>
      </w:pPr>
      <w:r>
        <w:rPr>
          <w:sz w:val="20"/>
        </w:rPr>
      </w:r>
    </w:p>
    <w:p>
      <w:pPr>
        <w:pStyle w:val="2"/>
        <w:outlineLvl w:val="2"/>
        <w:jc w:val="center"/>
      </w:pPr>
      <w:r>
        <w:rPr>
          <w:sz w:val="20"/>
        </w:rPr>
        <w:t xml:space="preserve">2.12. Исчерпывающий перечень оснований для отказа в приеме</w:t>
      </w:r>
    </w:p>
    <w:p>
      <w:pPr>
        <w:pStyle w:val="2"/>
        <w:jc w:val="center"/>
      </w:pPr>
      <w:r>
        <w:rPr>
          <w:sz w:val="20"/>
        </w:rPr>
        <w:t xml:space="preserve">запроса о предоставлении государственной услуги</w:t>
      </w:r>
    </w:p>
    <w:p>
      <w:pPr>
        <w:pStyle w:val="2"/>
        <w:jc w:val="center"/>
      </w:pPr>
      <w:r>
        <w:rPr>
          <w:sz w:val="20"/>
        </w:rPr>
        <w:t xml:space="preserve">и документов, необходимых для предоставления государственной</w:t>
      </w:r>
    </w:p>
    <w:p>
      <w:pPr>
        <w:pStyle w:val="2"/>
        <w:jc w:val="center"/>
      </w:pPr>
      <w:r>
        <w:rPr>
          <w:sz w:val="20"/>
        </w:rPr>
        <w:t xml:space="preserve">услуги, и исчерпывающий перечень оснований</w:t>
      </w:r>
    </w:p>
    <w:p>
      <w:pPr>
        <w:pStyle w:val="2"/>
        <w:jc w:val="center"/>
      </w:pPr>
      <w:r>
        <w:rPr>
          <w:sz w:val="20"/>
        </w:rPr>
        <w:t xml:space="preserve">для приостановления предоставления государственной услуги</w:t>
      </w:r>
    </w:p>
    <w:p>
      <w:pPr>
        <w:pStyle w:val="2"/>
        <w:jc w:val="center"/>
      </w:pPr>
      <w:r>
        <w:rPr>
          <w:sz w:val="20"/>
        </w:rPr>
        <w:t xml:space="preserve">или для отказа в предоставлении государственной услуги</w:t>
      </w:r>
    </w:p>
    <w:p>
      <w:pPr>
        <w:pStyle w:val="0"/>
        <w:jc w:val="both"/>
      </w:pPr>
      <w:r>
        <w:rPr>
          <w:sz w:val="20"/>
        </w:rPr>
      </w:r>
    </w:p>
    <w:p>
      <w:pPr>
        <w:pStyle w:val="0"/>
        <w:ind w:firstLine="540"/>
        <w:jc w:val="both"/>
      </w:pPr>
      <w:r>
        <w:rPr>
          <w:sz w:val="20"/>
        </w:rPr>
        <w:t xml:space="preserve">2.12.1. Перечень оснований для отказа в приеме заявки о предоставлении государственной услуги и документов, необходимых для предоставления государственной услуги:</w:t>
      </w:r>
    </w:p>
    <w:p>
      <w:pPr>
        <w:pStyle w:val="0"/>
        <w:spacing w:before="200" w:lineRule="auto"/>
        <w:ind w:firstLine="540"/>
        <w:jc w:val="both"/>
      </w:pPr>
      <w:r>
        <w:rPr>
          <w:sz w:val="20"/>
        </w:rPr>
        <w:t xml:space="preserve">1) заявка на получение права пользования недрами подана с нарушением требований </w:t>
      </w:r>
      <w:hyperlink w:history="0" r:id="rId55"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Порядка</w:t>
        </w:r>
      </w:hyperlink>
      <w:r>
        <w:rPr>
          <w:sz w:val="20"/>
        </w:rPr>
        <w:t xml:space="preserve"> оформления, государственной регистрации и выдачи лицензий на пользование недрами, утвержденного приказом Министерства от 15 апреля 2022 года N 155;</w:t>
      </w:r>
    </w:p>
    <w:p>
      <w:pPr>
        <w:pStyle w:val="0"/>
        <w:spacing w:before="200" w:lineRule="auto"/>
        <w:ind w:firstLine="540"/>
        <w:jc w:val="both"/>
      </w:pPr>
      <w:r>
        <w:rPr>
          <w:sz w:val="20"/>
        </w:rPr>
        <w:t xml:space="preserve">2) заявитель представил недостоверные сведения о себе.</w:t>
      </w:r>
    </w:p>
    <w:p>
      <w:pPr>
        <w:pStyle w:val="0"/>
        <w:spacing w:before="200" w:lineRule="auto"/>
        <w:ind w:firstLine="540"/>
        <w:jc w:val="both"/>
      </w:pPr>
      <w:r>
        <w:rPr>
          <w:sz w:val="20"/>
        </w:rPr>
        <w:t xml:space="preserve">2.12.2. Основания для приостановления предоставления государственной услуги отсутствуют.</w:t>
      </w:r>
    </w:p>
    <w:p>
      <w:pPr>
        <w:pStyle w:val="0"/>
        <w:spacing w:before="200" w:lineRule="auto"/>
        <w:ind w:firstLine="540"/>
        <w:jc w:val="both"/>
      </w:pPr>
      <w:r>
        <w:rPr>
          <w:sz w:val="20"/>
        </w:rPr>
        <w:t xml:space="preserve">2.12.3. Перечень оснований для отказа в предоставлении государственной услуги:</w:t>
      </w:r>
    </w:p>
    <w:p>
      <w:pPr>
        <w:pStyle w:val="0"/>
        <w:spacing w:before="200" w:lineRule="auto"/>
        <w:ind w:firstLine="540"/>
        <w:jc w:val="both"/>
      </w:pPr>
      <w:r>
        <w:rPr>
          <w:sz w:val="20"/>
        </w:rPr>
        <w:t xml:space="preserve">отсутствует оплата государственной пошлины;</w:t>
      </w:r>
    </w:p>
    <w:p>
      <w:pPr>
        <w:pStyle w:val="0"/>
        <w:spacing w:before="200" w:lineRule="auto"/>
        <w:ind w:firstLine="540"/>
        <w:jc w:val="both"/>
      </w:pPr>
      <w:r>
        <w:rPr>
          <w:sz w:val="20"/>
        </w:rPr>
        <w:t xml:space="preserve">заявитель не представил доказательств того, что обладает или будет обладать квалифицированными специалистами, необходимыми финансовыми и техническими средствами для эффективного и безопасного осуществления пользования недрами (при обращении заявителя за предоставлением права пользования недрами);</w:t>
      </w:r>
    </w:p>
    <w:p>
      <w:pPr>
        <w:pStyle w:val="0"/>
        <w:spacing w:before="200" w:lineRule="auto"/>
        <w:ind w:firstLine="540"/>
        <w:jc w:val="both"/>
      </w:pPr>
      <w:r>
        <w:rPr>
          <w:sz w:val="20"/>
        </w:rPr>
        <w:t xml:space="preserve">при предоставлении заявителю права пользования недрами не будут соблюдены антимонопольные требования (при обращении заявителя за предоставлением права пользования недрами);</w:t>
      </w:r>
    </w:p>
    <w:p>
      <w:pPr>
        <w:pStyle w:val="0"/>
        <w:spacing w:before="200" w:lineRule="auto"/>
        <w:ind w:firstLine="540"/>
        <w:jc w:val="both"/>
      </w:pPr>
      <w:r>
        <w:rPr>
          <w:sz w:val="20"/>
        </w:rPr>
        <w:t xml:space="preserve">сведения о заявителе содержатся в реестре недобросовестных участников аукционов на право пользования участками недр (при обращении заявителя за предоставлением права пользования недрами);</w:t>
      </w:r>
    </w:p>
    <w:p>
      <w:pPr>
        <w:pStyle w:val="0"/>
        <w:spacing w:before="200" w:lineRule="auto"/>
        <w:ind w:firstLine="540"/>
        <w:jc w:val="both"/>
      </w:pPr>
      <w:r>
        <w:rPr>
          <w:sz w:val="20"/>
        </w:rPr>
        <w:t xml:space="preserve">заявка подана с нарушением срока, установленного </w:t>
      </w:r>
      <w:hyperlink w:history="0" r:id="rId56" w:tooltip="Закон Саратовской области от 05.08.2015 N 92-ЗСО (ред. от 27.11.2025) &quot;О недрах&quot; (принят Саратовской областной Думой 29.07.2015) (с изм. и доп., вступающими в силу с 01.03.2026) {КонсультантПлюс}">
        <w:r>
          <w:rPr>
            <w:sz w:val="20"/>
            <w:color w:val="0000ff"/>
          </w:rPr>
          <w:t xml:space="preserve">частью четвертой статьи 10</w:t>
        </w:r>
      </w:hyperlink>
      <w:r>
        <w:rPr>
          <w:sz w:val="20"/>
        </w:rPr>
        <w:t xml:space="preserve"> </w:t>
      </w:r>
      <w:hyperlink w:history="0" r:id="rId57" w:tooltip="Закон РФ от 21.02.1992 N 2395-1 (ред. от 08.03.2026) &quot;О недрах&quot; (с изм. и доп., вступ. в силу с 01.07.2026) {КонсультантПлюс}">
        <w:r>
          <w:rPr>
            <w:sz w:val="20"/>
            <w:color w:val="0000ff"/>
          </w:rPr>
          <w:t xml:space="preserve">Закона</w:t>
        </w:r>
      </w:hyperlink>
      <w:r>
        <w:rPr>
          <w:sz w:val="20"/>
        </w:rPr>
        <w:t xml:space="preserve"> Российской Федерации "О недрах" (при обращении заявителя за внесением изменения в лицензию);</w:t>
      </w:r>
    </w:p>
    <w:p>
      <w:pPr>
        <w:pStyle w:val="0"/>
        <w:spacing w:before="200" w:lineRule="auto"/>
        <w:ind w:firstLine="540"/>
        <w:jc w:val="both"/>
      </w:pPr>
      <w:r>
        <w:rPr>
          <w:sz w:val="20"/>
        </w:rPr>
        <w:t xml:space="preserve">заявка и документы на внесение изменения в лицензию поданы с нарушением требований </w:t>
      </w:r>
      <w:hyperlink w:history="0" r:id="rId58"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Порядка</w:t>
        </w:r>
      </w:hyperlink>
      <w:r>
        <w:rPr>
          <w:sz w:val="20"/>
        </w:rPr>
        <w:t xml:space="preserve"> внесения изменений в лицензии на пользование недрами в отношении участков недр местного значения, утвержденного приказом Министерства от 15 апреля 2022 года N 155 (при обращении заявителя за внесением изменения в лицензию);</w:t>
      </w:r>
    </w:p>
    <w:p>
      <w:pPr>
        <w:pStyle w:val="0"/>
        <w:spacing w:before="200" w:lineRule="auto"/>
        <w:ind w:firstLine="540"/>
        <w:jc w:val="both"/>
      </w:pPr>
      <w:r>
        <w:rPr>
          <w:sz w:val="20"/>
        </w:rPr>
        <w:t xml:space="preserve">переход права пользования недрами не отвечает условиям и требованиям, установленным частями первой, третьей - шестой статьи 17.1 </w:t>
      </w:r>
      <w:hyperlink w:history="0" r:id="rId59" w:tooltip="Закон Саратовской области от 05.08.2015 N 92-ЗСО (ред. от 27.11.2025) &quot;О недрах&quot; (принят Саратовской областной Думой 29.07.2015) (с изм. и доп., вступающими в силу с 01.03.2026) {КонсультантПлюс}">
        <w:r>
          <w:rPr>
            <w:sz w:val="20"/>
            <w:color w:val="0000ff"/>
          </w:rPr>
          <w:t xml:space="preserve">Закона</w:t>
        </w:r>
      </w:hyperlink>
      <w:r>
        <w:rPr>
          <w:sz w:val="20"/>
        </w:rPr>
        <w:t xml:space="preserve"> Российской Федерации "О недрах" (при обращении заявителя за переоформлением лицензии);</w:t>
      </w:r>
    </w:p>
    <w:p>
      <w:pPr>
        <w:pStyle w:val="0"/>
        <w:spacing w:before="200" w:lineRule="auto"/>
        <w:ind w:firstLine="540"/>
        <w:jc w:val="both"/>
      </w:pPr>
      <w:r>
        <w:rPr>
          <w:sz w:val="20"/>
        </w:rPr>
        <w:t xml:space="preserve">наличие у пользователя недр действующего письменного уведомления о допущенных нарушениях, предусмотренного </w:t>
      </w:r>
      <w:hyperlink w:history="0" r:id="rId60" w:tooltip="Закон Саратовской области от 05.08.2015 N 92-ЗСО (ред. от 27.11.2025) &quot;О недрах&quot; (принят Саратовской областной Думой 29.07.2015) (с изм. и доп., вступающими в силу с 01.03.2026) {КонсультантПлюс}">
        <w:r>
          <w:rPr>
            <w:sz w:val="20"/>
            <w:color w:val="0000ff"/>
          </w:rPr>
          <w:t xml:space="preserve">частью четвертой статьи 21</w:t>
        </w:r>
      </w:hyperlink>
      <w:r>
        <w:rPr>
          <w:sz w:val="20"/>
        </w:rPr>
        <w:t xml:space="preserve"> </w:t>
      </w:r>
      <w:hyperlink w:history="0" r:id="rId61" w:tooltip="Закон РФ от 21.02.1992 N 2395-1 (ред. от 08.03.2026) &quot;О недрах&quot; (с изм. и доп., вступ. в силу с 01.07.2026) {КонсультантПлюс}">
        <w:r>
          <w:rPr>
            <w:sz w:val="20"/>
            <w:color w:val="0000ff"/>
          </w:rPr>
          <w:t xml:space="preserve">Закона</w:t>
        </w:r>
      </w:hyperlink>
      <w:r>
        <w:rPr>
          <w:sz w:val="20"/>
        </w:rPr>
        <w:t xml:space="preserve"> Российской Федерации "О недрах" (при обращении заявителя за переоформлением лицензии);</w:t>
      </w:r>
    </w:p>
    <w:p>
      <w:pPr>
        <w:pStyle w:val="0"/>
        <w:spacing w:before="200" w:lineRule="auto"/>
        <w:ind w:firstLine="540"/>
        <w:jc w:val="both"/>
      </w:pPr>
      <w:r>
        <w:rPr>
          <w:sz w:val="20"/>
        </w:rPr>
        <w:t xml:space="preserve">принятие решения о ликвидации юридического лица - пользователя недр со дня опубликования ликвидационной комиссией сообщения о ликвидации юридического лица - пользователя недр (при обращении заявителя за переоформлением лицензии);</w:t>
      </w:r>
    </w:p>
    <w:p>
      <w:pPr>
        <w:pStyle w:val="0"/>
        <w:spacing w:before="200" w:lineRule="auto"/>
        <w:ind w:firstLine="540"/>
        <w:jc w:val="both"/>
      </w:pPr>
      <w:r>
        <w:rPr>
          <w:sz w:val="20"/>
        </w:rPr>
        <w:t xml:space="preserve">признание пользователя недр несостоятельным (банкротом) в соответствии с Федеральным </w:t>
      </w:r>
      <w:hyperlink w:history="0" r:id="rId62" w:tooltip="Федеральный закон от 26.10.2002 N 127-ФЗ (ред. от 10.06.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(при обращении заявителя за переоформлением лицензии);</w:t>
      </w:r>
    </w:p>
    <w:p>
      <w:pPr>
        <w:pStyle w:val="0"/>
        <w:spacing w:before="200" w:lineRule="auto"/>
        <w:ind w:firstLine="540"/>
        <w:jc w:val="both"/>
      </w:pPr>
      <w:r>
        <w:rPr>
          <w:sz w:val="20"/>
        </w:rPr>
        <w:t xml:space="preserve">приостановление осуществления права пользования недрами в соответствии со статьей 20.1 </w:t>
      </w:r>
      <w:hyperlink w:history="0" r:id="rId63" w:tooltip="Закон Саратовской области от 05.08.2015 N 92-ЗСО (ред. от 27.11.2025) &quot;О недрах&quot; (принят Саратовской областной Думой 29.07.2015) (с изм. и доп., вступающими в силу с 01.03.2026) {КонсультантПлюс}">
        <w:r>
          <w:rPr>
            <w:sz w:val="20"/>
            <w:color w:val="0000ff"/>
          </w:rPr>
          <w:t xml:space="preserve">Закона</w:t>
        </w:r>
      </w:hyperlink>
      <w:r>
        <w:rPr>
          <w:sz w:val="20"/>
        </w:rPr>
        <w:t xml:space="preserve"> Российской Федерации "О недрах" (при обращении заявителя за переоформлением лицензии);</w:t>
      </w:r>
    </w:p>
    <w:p>
      <w:pPr>
        <w:pStyle w:val="0"/>
        <w:spacing w:before="200" w:lineRule="auto"/>
        <w:ind w:firstLine="540"/>
        <w:jc w:val="both"/>
      </w:pPr>
      <w:r>
        <w:rPr>
          <w:sz w:val="20"/>
        </w:rPr>
        <w:t xml:space="preserve">передача права пользования участком недр, предоставленным субъекту предпринимательской деятельности на основании соглашения о разделе продукции, не соответствует Федеральному </w:t>
      </w:r>
      <w:hyperlink w:history="0" r:id="rId64" w:tooltip="Федеральный закон от 30.12.1995 N 225-ФЗ (ред. от 08.12.2020) &quot;О соглашениях о разделе продукции&quot; {КонсультантПлюс}">
        <w:r>
          <w:rPr>
            <w:sz w:val="20"/>
            <w:color w:val="0000ff"/>
          </w:rPr>
          <w:t xml:space="preserve">закону</w:t>
        </w:r>
      </w:hyperlink>
      <w:r>
        <w:rPr>
          <w:sz w:val="20"/>
        </w:rPr>
        <w:t xml:space="preserve"> от 30 декабря 1995 года N 225-ФЗ "О соглашениях о разделе продукции" (при обращении заявителя за переоформлением лицензии);</w:t>
      </w:r>
    </w:p>
    <w:p>
      <w:pPr>
        <w:pStyle w:val="0"/>
        <w:spacing w:before="200" w:lineRule="auto"/>
        <w:ind w:firstLine="540"/>
        <w:jc w:val="both"/>
      </w:pPr>
      <w:r>
        <w:rPr>
          <w:sz w:val="20"/>
        </w:rPr>
        <w:t xml:space="preserve">заявка подана с нарушением срока, установленного частью пятнадцатой </w:t>
      </w:r>
      <w:hyperlink w:history="0" r:id="rId65" w:tooltip="Закон РФ от 21.02.1992 N 2395-1 (ред. от 08.03.2026) &quot;О недрах&quot; (с изм. и доп., вступ. в силу с 01.07.2026) {КонсультантПлюс}">
        <w:r>
          <w:rPr>
            <w:sz w:val="20"/>
            <w:color w:val="0000ff"/>
          </w:rPr>
          <w:t xml:space="preserve">статьи 12.1</w:t>
        </w:r>
      </w:hyperlink>
      <w:r>
        <w:rPr>
          <w:sz w:val="20"/>
        </w:rPr>
        <w:t xml:space="preserve"> Закона Российской Федерации "О недрах" (при обращении заявителя за переоформлением лицензии);</w:t>
      </w:r>
    </w:p>
    <w:p>
      <w:pPr>
        <w:pStyle w:val="0"/>
        <w:spacing w:before="200" w:lineRule="auto"/>
        <w:ind w:firstLine="540"/>
        <w:jc w:val="both"/>
      </w:pPr>
      <w:r>
        <w:rPr>
          <w:sz w:val="20"/>
        </w:rPr>
        <w:t xml:space="preserve">заявка и документы на переоформление лицензии поданы с нарушением требований </w:t>
      </w:r>
      <w:hyperlink w:history="0" r:id="rId66"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Порядка</w:t>
        </w:r>
      </w:hyperlink>
      <w:r>
        <w:rPr>
          <w:sz w:val="20"/>
        </w:rPr>
        <w:t xml:space="preserve">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 (при обращении заявителя за переоформлением лицензии).</w:t>
      </w:r>
    </w:p>
    <w:p>
      <w:pPr>
        <w:pStyle w:val="0"/>
        <w:spacing w:before="200" w:lineRule="auto"/>
        <w:ind w:firstLine="540"/>
        <w:jc w:val="both"/>
      </w:pPr>
      <w:r>
        <w:rPr>
          <w:sz w:val="20"/>
        </w:rPr>
        <w:t xml:space="preserve">2.12.4. Основания для отказа в приеме заявки о предоставлении государственной услуги и документов, необходимых для предоставления государственной услуги, основания для отказа в предоставлении государственной услуги с учетом категории (признаков) заявителя приведены в </w:t>
      </w:r>
      <w:hyperlink w:history="0" w:anchor="P571" w:tooltip="Исчерпывающий перечень оснований для отказа в приеме запроса">
        <w:r>
          <w:rPr>
            <w:sz w:val="20"/>
            <w:color w:val="0000ff"/>
          </w:rPr>
          <w:t xml:space="preserve">таблице N 4</w:t>
        </w:r>
      </w:hyperlink>
      <w:r>
        <w:rPr>
          <w:sz w:val="20"/>
        </w:rPr>
        <w:t xml:space="preserve"> приложения к настоящему административному регламенту.</w:t>
      </w:r>
    </w:p>
    <w:p>
      <w:pPr>
        <w:pStyle w:val="0"/>
        <w:jc w:val="both"/>
      </w:pPr>
      <w:r>
        <w:rPr>
          <w:sz w:val="20"/>
        </w:rPr>
      </w:r>
    </w:p>
    <w:p>
      <w:pPr>
        <w:pStyle w:val="2"/>
        <w:outlineLvl w:val="1"/>
        <w:jc w:val="center"/>
      </w:pPr>
      <w:r>
        <w:rPr>
          <w:sz w:val="20"/>
        </w:rPr>
        <w:t xml:space="preserve">III. Состав, последовательность и сроки выполнения</w:t>
      </w:r>
    </w:p>
    <w:p>
      <w:pPr>
        <w:pStyle w:val="2"/>
        <w:jc w:val="center"/>
      </w:pPr>
      <w:r>
        <w:rPr>
          <w:sz w:val="20"/>
        </w:rPr>
        <w:t xml:space="preserve">административных процедур</w:t>
      </w:r>
    </w:p>
    <w:p>
      <w:pPr>
        <w:pStyle w:val="0"/>
        <w:jc w:val="both"/>
      </w:pPr>
      <w:r>
        <w:rPr>
          <w:sz w:val="20"/>
        </w:rPr>
      </w:r>
    </w:p>
    <w:p>
      <w:pPr>
        <w:pStyle w:val="2"/>
        <w:outlineLvl w:val="2"/>
        <w:jc w:val="center"/>
      </w:pPr>
      <w:r>
        <w:rPr>
          <w:sz w:val="20"/>
        </w:rPr>
        <w:t xml:space="preserve">3.1. Перечень осуществляемых при предоставлении</w:t>
      </w:r>
    </w:p>
    <w:p>
      <w:pPr>
        <w:pStyle w:val="2"/>
        <w:jc w:val="center"/>
      </w:pPr>
      <w:r>
        <w:rPr>
          <w:sz w:val="20"/>
        </w:rPr>
        <w:t xml:space="preserve">государственной услуги административных процедур</w:t>
      </w:r>
    </w:p>
    <w:p>
      <w:pPr>
        <w:pStyle w:val="0"/>
        <w:jc w:val="both"/>
      </w:pPr>
      <w:r>
        <w:rPr>
          <w:sz w:val="20"/>
        </w:rPr>
      </w:r>
    </w:p>
    <w:p>
      <w:pPr>
        <w:pStyle w:val="0"/>
        <w:ind w:firstLine="540"/>
        <w:jc w:val="both"/>
      </w:pPr>
      <w:r>
        <w:rPr>
          <w:sz w:val="20"/>
        </w:rPr>
        <w:t xml:space="preserve">При предоставлении государственной услуги последовательно осуществляются следующие административные процедуры:</w:t>
      </w:r>
    </w:p>
    <w:p>
      <w:pPr>
        <w:pStyle w:val="0"/>
        <w:spacing w:before="200" w:lineRule="auto"/>
        <w:ind w:firstLine="540"/>
        <w:jc w:val="both"/>
      </w:pPr>
      <w:r>
        <w:rPr>
          <w:sz w:val="20"/>
        </w:rPr>
        <w:t xml:space="preserve">профилирование;</w:t>
      </w:r>
    </w:p>
    <w:p>
      <w:pPr>
        <w:pStyle w:val="0"/>
        <w:spacing w:before="200" w:lineRule="auto"/>
        <w:ind w:firstLine="540"/>
        <w:jc w:val="both"/>
      </w:pPr>
      <w:r>
        <w:rPr>
          <w:sz w:val="20"/>
        </w:rPr>
        <w:t xml:space="preserve">прием запроса и документов и (или) информации, необходимых для предоставления государственной услуги;</w:t>
      </w:r>
    </w:p>
    <w:p>
      <w:pPr>
        <w:pStyle w:val="0"/>
        <w:spacing w:before="200" w:lineRule="auto"/>
        <w:ind w:firstLine="540"/>
        <w:jc w:val="both"/>
      </w:pPr>
      <w:r>
        <w:rPr>
          <w:sz w:val="20"/>
        </w:rPr>
        <w:t xml:space="preserve">межведомственное информационное взаимодействие;</w:t>
      </w:r>
    </w:p>
    <w:p>
      <w:pPr>
        <w:pStyle w:val="0"/>
        <w:spacing w:before="200" w:lineRule="auto"/>
        <w:ind w:firstLine="540"/>
        <w:jc w:val="both"/>
      </w:pPr>
      <w:r>
        <w:rPr>
          <w:sz w:val="20"/>
        </w:rPr>
        <w:t xml:space="preserve">принятие решения о предоставлении (об отказе в предоставлении) государственной услуги;</w:t>
      </w:r>
    </w:p>
    <w:p>
      <w:pPr>
        <w:pStyle w:val="0"/>
        <w:spacing w:before="200" w:lineRule="auto"/>
        <w:ind w:firstLine="540"/>
        <w:jc w:val="both"/>
      </w:pPr>
      <w:r>
        <w:rPr>
          <w:sz w:val="20"/>
        </w:rPr>
        <w:t xml:space="preserve">предоставление результата государственной услуги.</w:t>
      </w:r>
    </w:p>
    <w:p>
      <w:pPr>
        <w:pStyle w:val="0"/>
        <w:jc w:val="both"/>
      </w:pPr>
      <w:r>
        <w:rPr>
          <w:sz w:val="20"/>
        </w:rPr>
      </w:r>
    </w:p>
    <w:p>
      <w:pPr>
        <w:pStyle w:val="2"/>
        <w:outlineLvl w:val="1"/>
        <w:jc w:val="center"/>
      </w:pPr>
      <w:r>
        <w:rPr>
          <w:sz w:val="20"/>
        </w:rPr>
        <w:t xml:space="preserve">IV. Способы информирования заявителя об изменении статуса</w:t>
      </w:r>
    </w:p>
    <w:p>
      <w:pPr>
        <w:pStyle w:val="2"/>
        <w:jc w:val="center"/>
      </w:pPr>
      <w:r>
        <w:rPr>
          <w:sz w:val="20"/>
        </w:rPr>
        <w:t xml:space="preserve">рассмотрения запроса о предоставлении государственной услуги</w:t>
      </w:r>
    </w:p>
    <w:p>
      <w:pPr>
        <w:pStyle w:val="0"/>
        <w:jc w:val="both"/>
      </w:pPr>
      <w:r>
        <w:rPr>
          <w:sz w:val="20"/>
        </w:rPr>
      </w:r>
    </w:p>
    <w:p>
      <w:pPr>
        <w:pStyle w:val="0"/>
        <w:ind w:firstLine="540"/>
        <w:jc w:val="both"/>
      </w:pPr>
      <w:r>
        <w:rPr>
          <w:sz w:val="20"/>
        </w:rPr>
        <w:t xml:space="preserve">Информирование заявителя об изменении статуса рассмотрения Заявления о предоставлении Государственной услуги осуществляется:</w:t>
      </w:r>
    </w:p>
    <w:p>
      <w:pPr>
        <w:pStyle w:val="0"/>
        <w:spacing w:before="200" w:lineRule="auto"/>
        <w:ind w:firstLine="540"/>
        <w:jc w:val="both"/>
      </w:pPr>
      <w:r>
        <w:rPr>
          <w:sz w:val="20"/>
        </w:rPr>
        <w:t xml:space="preserve">- посредством направления уведомлений в личный кабинет заявителя на ЕПГУ в соответствии с </w:t>
      </w:r>
      <w:hyperlink w:history="0" r:id="rId67" w:tooltip="Федеральный закон от 27.07.2010 N 210-ФЗ (ред. от 29.12.2025) &quot;Об организации предоставления государственных и муниципальных услуг&quot; {КонсультантПлюс}">
        <w:r>
          <w:rPr>
            <w:sz w:val="20"/>
            <w:color w:val="0000ff"/>
          </w:rPr>
          <w:t xml:space="preserve">частью 3.1 статьи 21</w:t>
        </w:r>
      </w:hyperlink>
      <w:r>
        <w:rPr>
          <w:sz w:val="20"/>
        </w:rPr>
        <w:t xml:space="preserve"> Федерального закона от 27 июля 2010 года N 210-ФЗ "Об организации предоставления государственных и муниципальных услуг";</w:t>
      </w:r>
    </w:p>
    <w:p>
      <w:pPr>
        <w:pStyle w:val="0"/>
        <w:spacing w:before="200" w:lineRule="auto"/>
        <w:ind w:firstLine="540"/>
        <w:jc w:val="both"/>
      </w:pPr>
      <w:r>
        <w:rPr>
          <w:sz w:val="20"/>
        </w:rPr>
        <w:t xml:space="preserve">- посредством телефонной связи;</w:t>
      </w:r>
    </w:p>
    <w:p>
      <w:pPr>
        <w:pStyle w:val="0"/>
        <w:spacing w:before="200" w:lineRule="auto"/>
        <w:ind w:firstLine="540"/>
        <w:jc w:val="both"/>
      </w:pPr>
      <w:r>
        <w:rPr>
          <w:sz w:val="20"/>
        </w:rPr>
        <w:t xml:space="preserve">- при личном обращении в министерство;</w:t>
      </w:r>
    </w:p>
    <w:p>
      <w:pPr>
        <w:pStyle w:val="0"/>
        <w:spacing w:before="200" w:lineRule="auto"/>
        <w:ind w:firstLine="540"/>
        <w:jc w:val="both"/>
      </w:pPr>
      <w:r>
        <w:rPr>
          <w:sz w:val="20"/>
        </w:rPr>
        <w:t xml:space="preserve">- посредством электронной почты, указанной в заявлении.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административному регламенту</w:t>
      </w:r>
    </w:p>
    <w:p>
      <w:pPr>
        <w:pStyle w:val="0"/>
        <w:jc w:val="both"/>
      </w:pPr>
      <w:r>
        <w:rPr>
          <w:sz w:val="20"/>
        </w:rPr>
      </w:r>
    </w:p>
    <w:p>
      <w:pPr>
        <w:pStyle w:val="2"/>
        <w:jc w:val="center"/>
      </w:pPr>
      <w:r>
        <w:rPr>
          <w:sz w:val="20"/>
        </w:rPr>
        <w:t xml:space="preserve">ПЕРЕЧЕНЬ</w:t>
      </w:r>
    </w:p>
    <w:p>
      <w:pPr>
        <w:pStyle w:val="2"/>
        <w:jc w:val="center"/>
      </w:pPr>
      <w:r>
        <w:rPr>
          <w:sz w:val="20"/>
        </w:rPr>
        <w:t xml:space="preserve">УСЛОВНЫХ ОБОЗНАЧЕНИЙ И СОКРАЩЕНИЙ, ИДЕНТИФИКАТОРЫ</w:t>
      </w:r>
    </w:p>
    <w:p>
      <w:pPr>
        <w:pStyle w:val="2"/>
        <w:jc w:val="center"/>
      </w:pPr>
      <w:r>
        <w:rPr>
          <w:sz w:val="20"/>
        </w:rPr>
        <w:t xml:space="preserve">КАТЕГОРИЙ (ПРИЗНАКОВ) ЗАЯВИТЕЛЕЙ, ИСЧЕРПЫВАЮЩИЙ ПЕРЕЧЕНЬ</w:t>
      </w:r>
    </w:p>
    <w:p>
      <w:pPr>
        <w:pStyle w:val="2"/>
        <w:jc w:val="center"/>
      </w:pPr>
      <w:r>
        <w:rPr>
          <w:sz w:val="20"/>
        </w:rPr>
        <w:t xml:space="preserve">ДОКУМЕНТОВ, НЕОБХОДИМЫХ ДЛЯ ПРЕДОСТАВЛЕНИЯ ГОСУДАРСТВЕННОЙ</w:t>
      </w:r>
    </w:p>
    <w:p>
      <w:pPr>
        <w:pStyle w:val="2"/>
        <w:jc w:val="center"/>
      </w:pPr>
      <w:r>
        <w:rPr>
          <w:sz w:val="20"/>
        </w:rPr>
        <w:t xml:space="preserve">УСЛУГИ, ИСЧЕРПЫВАЮЩИЙ ПЕРЕЧЕНЬ ОСНОВАНИЙ ДЛЯ ОТКАЗА В ПРИЕМЕ</w:t>
      </w:r>
    </w:p>
    <w:p>
      <w:pPr>
        <w:pStyle w:val="2"/>
        <w:jc w:val="center"/>
      </w:pPr>
      <w:r>
        <w:rPr>
          <w:sz w:val="20"/>
        </w:rPr>
        <w:t xml:space="preserve">ЗАПРОСА О ПРЕДОСТАВЛЕНИИ ГОСУДАРСТВЕННОЙ УСЛУГИ</w:t>
      </w:r>
    </w:p>
    <w:p>
      <w:pPr>
        <w:pStyle w:val="2"/>
        <w:jc w:val="center"/>
      </w:pPr>
      <w:r>
        <w:rPr>
          <w:sz w:val="20"/>
        </w:rPr>
        <w:t xml:space="preserve">И ДОКУМЕНТОВ, НЕОБХОДИМЫХ ДЛЯ ПРЕДОСТАВЛЕНИЯ ГОСУДАРСТВЕННОЙ</w:t>
      </w:r>
    </w:p>
    <w:p>
      <w:pPr>
        <w:pStyle w:val="2"/>
        <w:jc w:val="center"/>
      </w:pPr>
      <w:r>
        <w:rPr>
          <w:sz w:val="20"/>
        </w:rPr>
        <w:t xml:space="preserve">УСЛУГИ, ОСНОВАНИЙ ДЛЯ ПРИОСТАНОВЛЕНИЯ ПРЕДОСТАВЛЕНИЯ</w:t>
      </w:r>
    </w:p>
    <w:p>
      <w:pPr>
        <w:pStyle w:val="2"/>
        <w:jc w:val="center"/>
      </w:pPr>
      <w:r>
        <w:rPr>
          <w:sz w:val="20"/>
        </w:rPr>
        <w:t xml:space="preserve">ГОСУДАРСТВЕННОЙ УСЛУГИ ИЛИ ОТКАЗА В ПРЕДОСТАВЛЕНИИ</w:t>
      </w:r>
    </w:p>
    <w:p>
      <w:pPr>
        <w:pStyle w:val="2"/>
        <w:jc w:val="center"/>
      </w:pPr>
      <w:r>
        <w:rPr>
          <w:sz w:val="20"/>
        </w:rPr>
        <w:t xml:space="preserve">ГОСУДАРСТВЕННОЙ УСЛУГИ, ФОРМЫ ЗАПРОСА О ПРЕДОСТАВЛЕНИИ</w:t>
      </w:r>
    </w:p>
    <w:p>
      <w:pPr>
        <w:pStyle w:val="2"/>
        <w:jc w:val="center"/>
      </w:pPr>
      <w:r>
        <w:rPr>
          <w:sz w:val="20"/>
        </w:rPr>
        <w:t xml:space="preserve">ГОСУДАРСТВЕННОЙ УСЛУГИ И ДОКУМЕНТОВ, НЕОБХОДИМЫХ</w:t>
      </w:r>
    </w:p>
    <w:p>
      <w:pPr>
        <w:pStyle w:val="2"/>
        <w:jc w:val="center"/>
      </w:pPr>
      <w:r>
        <w:rPr>
          <w:sz w:val="20"/>
        </w:rPr>
        <w:t xml:space="preserve">ДЛЯ ПРЕДОСТАВЛЕНИЯ ГОСУДАРСТВЕННОЙ УСЛУГИ</w:t>
      </w:r>
    </w:p>
    <w:p>
      <w:pPr>
        <w:pStyle w:val="0"/>
        <w:jc w:val="both"/>
      </w:pPr>
      <w:r>
        <w:rPr>
          <w:sz w:val="20"/>
        </w:rPr>
      </w:r>
    </w:p>
    <w:bookmarkStart w:id="246" w:name="P246"/>
    <w:bookmarkEnd w:id="246"/>
    <w:p>
      <w:pPr>
        <w:pStyle w:val="2"/>
        <w:outlineLvl w:val="2"/>
        <w:jc w:val="center"/>
      </w:pPr>
      <w:r>
        <w:rPr>
          <w:sz w:val="20"/>
        </w:rPr>
        <w:t xml:space="preserve">1. Перечень условных обозначений и сокращений</w:t>
      </w:r>
    </w:p>
    <w:p>
      <w:pPr>
        <w:pStyle w:val="0"/>
        <w:jc w:val="both"/>
      </w:pPr>
      <w:r>
        <w:rPr>
          <w:sz w:val="20"/>
        </w:rPr>
      </w:r>
    </w:p>
    <w:p>
      <w:pPr>
        <w:pStyle w:val="0"/>
        <w:ind w:firstLine="540"/>
        <w:jc w:val="both"/>
      </w:pPr>
      <w:r>
        <w:rPr>
          <w:sz w:val="20"/>
        </w:rPr>
        <w:t xml:space="preserve">1.1. Условные сокращения:</w:t>
      </w:r>
    </w:p>
    <w:p>
      <w:pPr>
        <w:pStyle w:val="0"/>
        <w:spacing w:before="200" w:lineRule="auto"/>
        <w:ind w:firstLine="540"/>
        <w:jc w:val="both"/>
      </w:pPr>
      <w:r>
        <w:rPr>
          <w:sz w:val="20"/>
        </w:rPr>
        <w:t xml:space="preserve">государственная услуга - государственная услуга "Оформление, государственная регистрация и выдача лицензий на пользование недрами, внесение изменений в лицензии на пользование недрами, переоформление лицензий на пользование недрами в отношении участков недр местного значения";</w:t>
      </w:r>
    </w:p>
    <w:p>
      <w:pPr>
        <w:pStyle w:val="0"/>
        <w:spacing w:before="200" w:lineRule="auto"/>
        <w:ind w:firstLine="540"/>
        <w:jc w:val="both"/>
      </w:pPr>
      <w:r>
        <w:rPr>
          <w:sz w:val="20"/>
        </w:rPr>
        <w:t xml:space="preserve">Закон о недрах - </w:t>
      </w:r>
      <w:hyperlink w:history="0" r:id="rId68" w:tooltip="Закон Саратовской области от 05.08.2015 N 92-ЗСО (ред. от 27.11.2025) &quot;О недрах&quot; (принят Саратовской областной Думой 29.07.2015) (с изм. и доп., вступающими в силу с 01.03.2026) {КонсультантПлюс}">
        <w:r>
          <w:rPr>
            <w:sz w:val="20"/>
            <w:color w:val="0000ff"/>
          </w:rPr>
          <w:t xml:space="preserve">Закон</w:t>
        </w:r>
      </w:hyperlink>
      <w:r>
        <w:rPr>
          <w:sz w:val="20"/>
        </w:rPr>
        <w:t xml:space="preserve"> Саратовской области от 5 августа 2015 года N 92-ЗСО "О недрах";</w:t>
      </w:r>
    </w:p>
    <w:p>
      <w:pPr>
        <w:pStyle w:val="0"/>
        <w:spacing w:before="200" w:lineRule="auto"/>
        <w:ind w:firstLine="540"/>
        <w:jc w:val="both"/>
      </w:pPr>
      <w:hyperlink w:history="0" r:id="rId69" w:tooltip="Закон Саратовской области от 05.08.2015 N 92-ЗСО (ред. от 27.11.2025) &quot;О недрах&quot; (принят Саратовской областной Думой 29.07.2015) (с изм. и доп., вступающими в силу с 01.03.2026) {КонсультантПлюс}">
        <w:r>
          <w:rPr>
            <w:sz w:val="20"/>
            <w:color w:val="0000ff"/>
          </w:rPr>
          <w:t xml:space="preserve">Закон</w:t>
        </w:r>
      </w:hyperlink>
      <w:r>
        <w:rPr>
          <w:sz w:val="20"/>
        </w:rPr>
        <w:t xml:space="preserve"> Российской Федерации "О недрах" - </w:t>
      </w:r>
      <w:hyperlink w:history="0" r:id="rId70" w:tooltip="Закон РФ от 21.02.1992 N 2395-1 (ред. от 08.03.2026) &quot;О недрах&quot; (с изм. и доп., вступ. в силу с 01.07.2026) {КонсультантПлюс}">
        <w:r>
          <w:rPr>
            <w:sz w:val="20"/>
            <w:color w:val="0000ff"/>
          </w:rPr>
          <w:t xml:space="preserve">Закон</w:t>
        </w:r>
      </w:hyperlink>
      <w:r>
        <w:rPr>
          <w:sz w:val="20"/>
        </w:rPr>
        <w:t xml:space="preserve"> Российской Федерации от 21 февраля 1992 года N 2395-1 "О недрах";</w:t>
      </w:r>
    </w:p>
    <w:p>
      <w:pPr>
        <w:pStyle w:val="0"/>
        <w:spacing w:before="200" w:lineRule="auto"/>
        <w:ind w:firstLine="540"/>
        <w:jc w:val="both"/>
      </w:pPr>
      <w:r>
        <w:rPr>
          <w:sz w:val="20"/>
        </w:rPr>
        <w:t xml:space="preserve">Запрос, заявка - заявка на предоставление государственной услуги;</w:t>
      </w:r>
    </w:p>
    <w:p>
      <w:pPr>
        <w:pStyle w:val="0"/>
        <w:spacing w:before="200" w:lineRule="auto"/>
        <w:ind w:firstLine="540"/>
        <w:jc w:val="both"/>
      </w:pPr>
      <w:r>
        <w:rPr>
          <w:sz w:val="20"/>
        </w:rPr>
        <w:t xml:space="preserve">заявитель - юридические лица, созданные в соответствии с законодательством Российской Федерации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индивидуальные предприниматели, являющиеся гражданами Российской Федерации, обратившиеся в орган, предоставляющий государственную услугу, с запросом о предоставлении государственной услуги;</w:t>
      </w:r>
    </w:p>
    <w:p>
      <w:pPr>
        <w:pStyle w:val="0"/>
        <w:spacing w:before="200" w:lineRule="auto"/>
        <w:ind w:firstLine="540"/>
        <w:jc w:val="both"/>
      </w:pPr>
      <w:r>
        <w:rPr>
          <w:sz w:val="20"/>
        </w:rPr>
        <w:t xml:space="preserve">лицензия - лицензия на пользование недрами;</w:t>
      </w:r>
    </w:p>
    <w:p>
      <w:pPr>
        <w:pStyle w:val="0"/>
        <w:spacing w:before="200" w:lineRule="auto"/>
        <w:ind w:firstLine="540"/>
        <w:jc w:val="both"/>
      </w:pPr>
      <w:r>
        <w:rPr>
          <w:sz w:val="20"/>
        </w:rPr>
        <w:t xml:space="preserve">Министерство - министерство природных ресурсов и экологии Саратовской области;</w:t>
      </w:r>
    </w:p>
    <w:p>
      <w:pPr>
        <w:pStyle w:val="0"/>
        <w:spacing w:before="200" w:lineRule="auto"/>
        <w:ind w:firstLine="540"/>
        <w:jc w:val="both"/>
      </w:pPr>
      <w:r>
        <w:rPr>
          <w:sz w:val="20"/>
        </w:rPr>
        <w:t xml:space="preserve">представитель заявителя - лицо, уполномоченное заявителем на представление его интересов при предоставлении государственной услуги, обратившееся в орган, предоставляющий государственную услугу, с запросом о предоставлении государственной услуги;</w:t>
      </w:r>
    </w:p>
    <w:p>
      <w:pPr>
        <w:pStyle w:val="0"/>
        <w:spacing w:before="200" w:lineRule="auto"/>
        <w:ind w:firstLine="540"/>
        <w:jc w:val="both"/>
      </w:pPr>
      <w:r>
        <w:rPr>
          <w:sz w:val="20"/>
        </w:rPr>
        <w:t xml:space="preserve">ГИС ГМП - Государственная информационная система о государственных и муниципальных платежах;</w:t>
      </w:r>
    </w:p>
    <w:p>
      <w:pPr>
        <w:pStyle w:val="0"/>
        <w:spacing w:before="200" w:lineRule="auto"/>
        <w:ind w:firstLine="540"/>
        <w:jc w:val="both"/>
      </w:pPr>
      <w:r>
        <w:rPr>
          <w:sz w:val="20"/>
        </w:rPr>
        <w:t xml:space="preserve">ЛКН - личный кабинет недропользователя в федеральной государственной информационной системе "Портал государственных услуг и функций Роснедра".</w:t>
      </w:r>
    </w:p>
    <w:p>
      <w:pPr>
        <w:pStyle w:val="0"/>
        <w:spacing w:before="200" w:lineRule="auto"/>
        <w:ind w:firstLine="540"/>
        <w:jc w:val="both"/>
      </w:pPr>
      <w:r>
        <w:rPr>
          <w:sz w:val="20"/>
        </w:rPr>
        <w:t xml:space="preserve">1.2. Условные обозначения: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2835"/>
        <w:gridCol w:w="4592"/>
      </w:tblGrid>
      <w:tr>
        <w:tc>
          <w:tcPr>
            <w:tcW w:w="1587" w:type="dxa"/>
            <w:vAlign w:val="center"/>
          </w:tcPr>
          <w:p>
            <w:pPr>
              <w:pStyle w:val="0"/>
              <w:jc w:val="center"/>
            </w:pPr>
            <w:r>
              <w:rPr>
                <w:sz w:val="20"/>
              </w:rPr>
              <w:t xml:space="preserve">Условное обозначение</w:t>
            </w:r>
          </w:p>
        </w:tc>
        <w:tc>
          <w:tcPr>
            <w:tcW w:w="2835" w:type="dxa"/>
            <w:vAlign w:val="center"/>
          </w:tcPr>
          <w:p>
            <w:pPr>
              <w:pStyle w:val="0"/>
              <w:jc w:val="center"/>
            </w:pPr>
            <w:r>
              <w:rPr>
                <w:sz w:val="20"/>
              </w:rPr>
              <w:t xml:space="preserve">Категория условного обозначения</w:t>
            </w:r>
          </w:p>
        </w:tc>
        <w:tc>
          <w:tcPr>
            <w:tcW w:w="4592" w:type="dxa"/>
            <w:vAlign w:val="center"/>
          </w:tcPr>
          <w:p>
            <w:pPr>
              <w:pStyle w:val="0"/>
              <w:jc w:val="center"/>
            </w:pPr>
            <w:r>
              <w:rPr>
                <w:sz w:val="20"/>
              </w:rPr>
              <w:t xml:space="preserve">Расшифровка условного обозначения</w:t>
            </w:r>
          </w:p>
        </w:tc>
      </w:tr>
      <w:tr>
        <w:tc>
          <w:tcPr>
            <w:tcW w:w="1587" w:type="dxa"/>
          </w:tcPr>
          <w:p>
            <w:pPr>
              <w:pStyle w:val="0"/>
              <w:jc w:val="center"/>
            </w:pPr>
            <w:r>
              <w:rPr>
                <w:sz w:val="20"/>
              </w:rPr>
              <w:t xml:space="preserve">ОД</w:t>
            </w:r>
          </w:p>
        </w:tc>
        <w:tc>
          <w:tcPr>
            <w:tcW w:w="2835" w:type="dxa"/>
          </w:tcPr>
          <w:p>
            <w:pPr>
              <w:pStyle w:val="0"/>
            </w:pPr>
            <w:r>
              <w:rPr>
                <w:sz w:val="20"/>
              </w:rPr>
              <w:t xml:space="preserve">Требование к документу</w:t>
            </w:r>
          </w:p>
        </w:tc>
        <w:tc>
          <w:tcPr>
            <w:tcW w:w="4592" w:type="dxa"/>
          </w:tcPr>
          <w:p>
            <w:pPr>
              <w:pStyle w:val="0"/>
            </w:pPr>
            <w:r>
              <w:rPr>
                <w:sz w:val="20"/>
              </w:rPr>
              <w:t xml:space="preserve">Представляется оригинал документа на бумажном носителе</w:t>
            </w:r>
          </w:p>
        </w:tc>
      </w:tr>
      <w:tr>
        <w:tc>
          <w:tcPr>
            <w:tcW w:w="1587" w:type="dxa"/>
          </w:tcPr>
          <w:p>
            <w:pPr>
              <w:pStyle w:val="0"/>
              <w:jc w:val="center"/>
            </w:pPr>
            <w:r>
              <w:rPr>
                <w:sz w:val="20"/>
              </w:rPr>
              <w:t xml:space="preserve">ЭД</w:t>
            </w:r>
          </w:p>
        </w:tc>
        <w:tc>
          <w:tcPr>
            <w:tcW w:w="2835" w:type="dxa"/>
          </w:tcPr>
          <w:p>
            <w:pPr>
              <w:pStyle w:val="0"/>
            </w:pPr>
            <w:r>
              <w:rPr>
                <w:sz w:val="20"/>
              </w:rPr>
              <w:t xml:space="preserve">Требование к документу</w:t>
            </w:r>
          </w:p>
        </w:tc>
        <w:tc>
          <w:tcPr>
            <w:tcW w:w="4592" w:type="dxa"/>
          </w:tcPr>
          <w:p>
            <w:pPr>
              <w:pStyle w:val="0"/>
            </w:pPr>
            <w:r>
              <w:rPr>
                <w:sz w:val="20"/>
              </w:rPr>
              <w:t xml:space="preserve">Представляется в форме электронного документа, подписанного электронной подписью заявителя в соответствии с требованиями Федерального </w:t>
            </w:r>
            <w:hyperlink w:history="0" r:id="rId71" w:tooltip="Федеральный закон от 06.04.2011 N 63-ФЗ (ред. от 31.07.2025) &quot;Об электронной подписи&quot; {КонсультантПлюс}">
              <w:r>
                <w:rPr>
                  <w:sz w:val="20"/>
                  <w:color w:val="0000ff"/>
                </w:rPr>
                <w:t xml:space="preserve">закона</w:t>
              </w:r>
            </w:hyperlink>
            <w:r>
              <w:rPr>
                <w:sz w:val="20"/>
              </w:rPr>
              <w:t xml:space="preserve"> "Об электронной подписи"</w:t>
            </w:r>
          </w:p>
        </w:tc>
      </w:tr>
      <w:tr>
        <w:tc>
          <w:tcPr>
            <w:tcW w:w="1587" w:type="dxa"/>
          </w:tcPr>
          <w:p>
            <w:pPr>
              <w:pStyle w:val="0"/>
              <w:jc w:val="center"/>
            </w:pPr>
            <w:r>
              <w:rPr>
                <w:sz w:val="20"/>
              </w:rPr>
              <w:t xml:space="preserve">ЛКН</w:t>
            </w:r>
          </w:p>
        </w:tc>
        <w:tc>
          <w:tcPr>
            <w:tcW w:w="2835" w:type="dxa"/>
          </w:tcPr>
          <w:p>
            <w:pPr>
              <w:pStyle w:val="0"/>
            </w:pPr>
            <w:r>
              <w:rPr>
                <w:sz w:val="20"/>
              </w:rPr>
              <w:t xml:space="preserve">Способ подачи запроса и документов</w:t>
            </w:r>
          </w:p>
        </w:tc>
        <w:tc>
          <w:tcPr>
            <w:tcW w:w="4592" w:type="dxa"/>
          </w:tcPr>
          <w:p>
            <w:pPr>
              <w:pStyle w:val="0"/>
            </w:pPr>
            <w:r>
              <w:rPr>
                <w:sz w:val="20"/>
              </w:rPr>
              <w:t xml:space="preserve">Подача через Личный кабинет недропользователя</w:t>
            </w:r>
          </w:p>
        </w:tc>
      </w:tr>
      <w:tr>
        <w:tc>
          <w:tcPr>
            <w:tcW w:w="1587" w:type="dxa"/>
          </w:tcPr>
          <w:p>
            <w:pPr>
              <w:pStyle w:val="0"/>
              <w:jc w:val="center"/>
            </w:pPr>
            <w:r>
              <w:rPr>
                <w:sz w:val="20"/>
              </w:rPr>
              <w:t xml:space="preserve">ОИВ</w:t>
            </w:r>
          </w:p>
        </w:tc>
        <w:tc>
          <w:tcPr>
            <w:tcW w:w="2835" w:type="dxa"/>
          </w:tcPr>
          <w:p>
            <w:pPr>
              <w:pStyle w:val="0"/>
            </w:pPr>
            <w:r>
              <w:rPr>
                <w:sz w:val="20"/>
              </w:rPr>
              <w:t xml:space="preserve">Способ подачи запроса и документов</w:t>
            </w:r>
          </w:p>
        </w:tc>
        <w:tc>
          <w:tcPr>
            <w:tcW w:w="4592" w:type="dxa"/>
          </w:tcPr>
          <w:p>
            <w:pPr>
              <w:pStyle w:val="0"/>
            </w:pPr>
            <w:r>
              <w:rPr>
                <w:sz w:val="20"/>
              </w:rPr>
              <w:t xml:space="preserve">Подача в Министерство лично или почтовым отправлением</w:t>
            </w:r>
          </w:p>
        </w:tc>
      </w:tr>
    </w:tbl>
    <w:p>
      <w:pPr>
        <w:pStyle w:val="0"/>
        <w:jc w:val="both"/>
      </w:pPr>
      <w:r>
        <w:rPr>
          <w:sz w:val="20"/>
        </w:rPr>
      </w:r>
    </w:p>
    <w:bookmarkStart w:id="277" w:name="P277"/>
    <w:bookmarkEnd w:id="277"/>
    <w:p>
      <w:pPr>
        <w:pStyle w:val="2"/>
        <w:outlineLvl w:val="2"/>
        <w:jc w:val="center"/>
      </w:pPr>
      <w:r>
        <w:rPr>
          <w:sz w:val="20"/>
        </w:rPr>
        <w:t xml:space="preserve">2. Профилирование заявителя</w:t>
      </w:r>
    </w:p>
    <w:p>
      <w:pPr>
        <w:pStyle w:val="0"/>
        <w:jc w:val="both"/>
      </w:pPr>
      <w:r>
        <w:rPr>
          <w:sz w:val="20"/>
        </w:rPr>
      </w:r>
    </w:p>
    <w:p>
      <w:pPr>
        <w:pStyle w:val="0"/>
        <w:jc w:val="right"/>
      </w:pPr>
      <w:r>
        <w:rPr>
          <w:sz w:val="20"/>
        </w:rPr>
        <w:t xml:space="preserve">Таблица N 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25"/>
        <w:gridCol w:w="4989"/>
      </w:tblGrid>
      <w:tr>
        <w:tc>
          <w:tcPr>
            <w:tcW w:w="4025" w:type="dxa"/>
          </w:tcPr>
          <w:p>
            <w:pPr>
              <w:pStyle w:val="0"/>
              <w:jc w:val="center"/>
            </w:pPr>
            <w:r>
              <w:rPr>
                <w:sz w:val="20"/>
              </w:rPr>
              <w:t xml:space="preserve">Вопросы анкетирования заявителя</w:t>
            </w:r>
          </w:p>
        </w:tc>
        <w:tc>
          <w:tcPr>
            <w:tcW w:w="4989" w:type="dxa"/>
          </w:tcPr>
          <w:p>
            <w:pPr>
              <w:pStyle w:val="0"/>
              <w:jc w:val="center"/>
            </w:pPr>
            <w:r>
              <w:rPr>
                <w:sz w:val="20"/>
              </w:rPr>
              <w:t xml:space="preserve">Варианты ответов</w:t>
            </w:r>
          </w:p>
        </w:tc>
      </w:tr>
      <w:tr>
        <w:tc>
          <w:tcPr>
            <w:tcW w:w="4025" w:type="dxa"/>
          </w:tcPr>
          <w:p>
            <w:pPr>
              <w:pStyle w:val="0"/>
            </w:pPr>
            <w:r>
              <w:rPr>
                <w:sz w:val="20"/>
              </w:rPr>
              <w:t xml:space="preserve">Категория заявителя?</w:t>
            </w:r>
          </w:p>
        </w:tc>
        <w:tc>
          <w:tcPr>
            <w:tcW w:w="4989" w:type="dxa"/>
          </w:tcPr>
          <w:p>
            <w:pPr>
              <w:pStyle w:val="0"/>
            </w:pPr>
            <w:r>
              <w:rPr>
                <w:sz w:val="20"/>
              </w:rPr>
              <w:t xml:space="preserve">1. Индивидуальный предприниматель</w:t>
            </w:r>
          </w:p>
          <w:p>
            <w:pPr>
              <w:pStyle w:val="0"/>
            </w:pPr>
            <w:r>
              <w:rPr>
                <w:sz w:val="20"/>
              </w:rPr>
              <w:t xml:space="preserve">2. Юридическое лицо</w:t>
            </w:r>
          </w:p>
        </w:tc>
      </w:tr>
      <w:tr>
        <w:tc>
          <w:tcPr>
            <w:tcW w:w="4025" w:type="dxa"/>
          </w:tcPr>
          <w:p>
            <w:pPr>
              <w:pStyle w:val="0"/>
            </w:pPr>
            <w:r>
              <w:rPr>
                <w:sz w:val="20"/>
              </w:rPr>
              <w:t xml:space="preserve">Каким образом обратился заявитель?</w:t>
            </w:r>
          </w:p>
        </w:tc>
        <w:tc>
          <w:tcPr>
            <w:tcW w:w="4989" w:type="dxa"/>
          </w:tcPr>
          <w:p>
            <w:pPr>
              <w:pStyle w:val="0"/>
            </w:pPr>
            <w:r>
              <w:rPr>
                <w:sz w:val="20"/>
              </w:rPr>
              <w:t xml:space="preserve">1. Обратился лично</w:t>
            </w:r>
          </w:p>
          <w:p>
            <w:pPr>
              <w:pStyle w:val="0"/>
            </w:pPr>
            <w:r>
              <w:rPr>
                <w:sz w:val="20"/>
              </w:rPr>
              <w:t xml:space="preserve">2. Обратился через представителя заявителя</w:t>
            </w:r>
          </w:p>
        </w:tc>
      </w:tr>
    </w:tbl>
    <w:p>
      <w:pPr>
        <w:pStyle w:val="0"/>
        <w:jc w:val="both"/>
      </w:pPr>
      <w:r>
        <w:rPr>
          <w:sz w:val="20"/>
        </w:rPr>
      </w:r>
    </w:p>
    <w:p>
      <w:pPr>
        <w:pStyle w:val="2"/>
        <w:outlineLvl w:val="2"/>
        <w:jc w:val="center"/>
      </w:pPr>
      <w:r>
        <w:rPr>
          <w:sz w:val="20"/>
        </w:rPr>
        <w:t xml:space="preserve">3. Идентификаторы категорий (признаков) заявителей</w:t>
      </w:r>
    </w:p>
    <w:p>
      <w:pPr>
        <w:pStyle w:val="0"/>
        <w:jc w:val="both"/>
      </w:pPr>
      <w:r>
        <w:rPr>
          <w:sz w:val="20"/>
        </w:rPr>
      </w:r>
    </w:p>
    <w:p>
      <w:pPr>
        <w:pStyle w:val="0"/>
        <w:jc w:val="right"/>
      </w:pPr>
      <w:r>
        <w:rPr>
          <w:sz w:val="20"/>
        </w:rPr>
        <w:t xml:space="preserve">Таблица N 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891"/>
        <w:gridCol w:w="3685"/>
        <w:gridCol w:w="2438"/>
      </w:tblGrid>
      <w:tr>
        <w:tc>
          <w:tcPr>
            <w:tcW w:w="2891" w:type="dxa"/>
            <w:vAlign w:val="center"/>
          </w:tcPr>
          <w:p>
            <w:pPr>
              <w:pStyle w:val="0"/>
              <w:jc w:val="center"/>
            </w:pPr>
            <w:r>
              <w:rPr>
                <w:sz w:val="20"/>
              </w:rPr>
              <w:t xml:space="preserve">Цель обращения</w:t>
            </w:r>
          </w:p>
        </w:tc>
        <w:tc>
          <w:tcPr>
            <w:tcW w:w="3685" w:type="dxa"/>
            <w:vAlign w:val="center"/>
          </w:tcPr>
          <w:p>
            <w:pPr>
              <w:pStyle w:val="0"/>
              <w:jc w:val="center"/>
            </w:pPr>
            <w:r>
              <w:rPr>
                <w:sz w:val="20"/>
              </w:rPr>
              <w:t xml:space="preserve">Наименование категории (признака) заявителя</w:t>
            </w:r>
          </w:p>
        </w:tc>
        <w:tc>
          <w:tcPr>
            <w:tcW w:w="2438" w:type="dxa"/>
            <w:vAlign w:val="center"/>
          </w:tcPr>
          <w:p>
            <w:pPr>
              <w:pStyle w:val="0"/>
              <w:jc w:val="center"/>
            </w:pPr>
            <w:r>
              <w:rPr>
                <w:sz w:val="20"/>
              </w:rPr>
              <w:t xml:space="preserve">Идентификатор категории (признака) заявителя</w:t>
            </w:r>
          </w:p>
        </w:tc>
      </w:tr>
      <w:tr>
        <w:tc>
          <w:tcPr>
            <w:tcW w:w="2891" w:type="dxa"/>
            <w:vMerge w:val="restart"/>
          </w:tcPr>
          <w:p>
            <w:pPr>
              <w:pStyle w:val="0"/>
            </w:pPr>
            <w:r>
              <w:rPr>
                <w:sz w:val="20"/>
              </w:rPr>
              <w:t xml:space="preserve">1. Оформление, государственная регистрация и выдача лицензий на пользование недрами</w:t>
            </w:r>
          </w:p>
        </w:tc>
        <w:tc>
          <w:tcPr>
            <w:tcW w:w="3685" w:type="dxa"/>
          </w:tcPr>
          <w:p>
            <w:pPr>
              <w:pStyle w:val="0"/>
            </w:pPr>
            <w:r>
              <w:rPr>
                <w:sz w:val="20"/>
              </w:rPr>
              <w:t xml:space="preserve">Индивидуальный предприниматель</w:t>
            </w:r>
          </w:p>
        </w:tc>
        <w:tc>
          <w:tcPr>
            <w:tcW w:w="2438" w:type="dxa"/>
          </w:tcPr>
          <w:p>
            <w:pPr>
              <w:pStyle w:val="0"/>
              <w:jc w:val="center"/>
            </w:pPr>
            <w:r>
              <w:rPr>
                <w:sz w:val="20"/>
              </w:rPr>
              <w:t xml:space="preserve">А1</w:t>
            </w:r>
          </w:p>
        </w:tc>
      </w:tr>
      <w:tr>
        <w:tc>
          <w:tcPr>
            <w:vMerge w:val="continue"/>
          </w:tcPr>
          <w:p/>
        </w:tc>
        <w:tc>
          <w:tcPr>
            <w:tcW w:w="3685" w:type="dxa"/>
          </w:tcPr>
          <w:p>
            <w:pPr>
              <w:pStyle w:val="0"/>
            </w:pPr>
            <w:r>
              <w:rPr>
                <w:sz w:val="20"/>
              </w:rPr>
              <w:t xml:space="preserve">Юридическое лицо</w:t>
            </w:r>
          </w:p>
        </w:tc>
        <w:tc>
          <w:tcPr>
            <w:tcW w:w="2438" w:type="dxa"/>
          </w:tcPr>
          <w:p>
            <w:pPr>
              <w:pStyle w:val="0"/>
              <w:jc w:val="center"/>
            </w:pPr>
            <w:r>
              <w:rPr>
                <w:sz w:val="20"/>
              </w:rPr>
              <w:t xml:space="preserve">А2</w:t>
            </w:r>
          </w:p>
        </w:tc>
      </w:tr>
      <w:tr>
        <w:tc>
          <w:tcPr>
            <w:vMerge w:val="continue"/>
          </w:tcPr>
          <w:p/>
        </w:tc>
        <w:tc>
          <w:tcPr>
            <w:tcW w:w="3685" w:type="dxa"/>
          </w:tcPr>
          <w:p>
            <w:pPr>
              <w:pStyle w:val="0"/>
            </w:pPr>
            <w:r>
              <w:rPr>
                <w:sz w:val="20"/>
              </w:rPr>
              <w:t xml:space="preserve">Обратился через представителя</w:t>
            </w:r>
          </w:p>
        </w:tc>
        <w:tc>
          <w:tcPr>
            <w:tcW w:w="2438" w:type="dxa"/>
          </w:tcPr>
          <w:p>
            <w:pPr>
              <w:pStyle w:val="0"/>
              <w:jc w:val="center"/>
            </w:pPr>
            <w:r>
              <w:rPr>
                <w:sz w:val="20"/>
              </w:rPr>
              <w:t xml:space="preserve">А3</w:t>
            </w:r>
          </w:p>
        </w:tc>
      </w:tr>
      <w:tr>
        <w:tc>
          <w:tcPr>
            <w:vMerge w:val="continue"/>
          </w:tcPr>
          <w:p/>
        </w:tc>
        <w:tc>
          <w:tcPr>
            <w:tcW w:w="3685" w:type="dxa"/>
          </w:tcPr>
          <w:p>
            <w:pPr>
              <w:pStyle w:val="0"/>
            </w:pPr>
            <w:r>
              <w:rPr>
                <w:sz w:val="20"/>
              </w:rPr>
              <w:t xml:space="preserve">Обратился лично</w:t>
            </w:r>
          </w:p>
        </w:tc>
        <w:tc>
          <w:tcPr>
            <w:tcW w:w="2438" w:type="dxa"/>
          </w:tcPr>
          <w:p>
            <w:pPr>
              <w:pStyle w:val="0"/>
              <w:jc w:val="center"/>
            </w:pPr>
            <w:r>
              <w:rPr>
                <w:sz w:val="20"/>
              </w:rPr>
              <w:t xml:space="preserve">А4</w:t>
            </w:r>
          </w:p>
        </w:tc>
      </w:tr>
      <w:tr>
        <w:tc>
          <w:tcPr>
            <w:tcW w:w="2891" w:type="dxa"/>
            <w:vMerge w:val="restart"/>
          </w:tcPr>
          <w:p>
            <w:pPr>
              <w:pStyle w:val="0"/>
            </w:pPr>
            <w:r>
              <w:rPr>
                <w:sz w:val="20"/>
              </w:rPr>
              <w:t xml:space="preserve">2. Внесение изменений в лицензии на пользование недрами</w:t>
            </w:r>
          </w:p>
        </w:tc>
        <w:tc>
          <w:tcPr>
            <w:tcW w:w="3685" w:type="dxa"/>
          </w:tcPr>
          <w:p>
            <w:pPr>
              <w:pStyle w:val="0"/>
            </w:pPr>
            <w:r>
              <w:rPr>
                <w:sz w:val="20"/>
              </w:rPr>
              <w:t xml:space="preserve">Индивидуальный предприниматель</w:t>
            </w:r>
          </w:p>
        </w:tc>
        <w:tc>
          <w:tcPr>
            <w:tcW w:w="2438" w:type="dxa"/>
          </w:tcPr>
          <w:p>
            <w:pPr>
              <w:pStyle w:val="0"/>
              <w:jc w:val="center"/>
            </w:pPr>
            <w:r>
              <w:rPr>
                <w:sz w:val="20"/>
              </w:rPr>
              <w:t xml:space="preserve">Б1</w:t>
            </w:r>
          </w:p>
        </w:tc>
      </w:tr>
      <w:tr>
        <w:tc>
          <w:tcPr>
            <w:vMerge w:val="continue"/>
          </w:tcPr>
          <w:p/>
        </w:tc>
        <w:tc>
          <w:tcPr>
            <w:tcW w:w="3685" w:type="dxa"/>
          </w:tcPr>
          <w:p>
            <w:pPr>
              <w:pStyle w:val="0"/>
            </w:pPr>
            <w:r>
              <w:rPr>
                <w:sz w:val="20"/>
              </w:rPr>
              <w:t xml:space="preserve">Юридическое лицо</w:t>
            </w:r>
          </w:p>
        </w:tc>
        <w:tc>
          <w:tcPr>
            <w:tcW w:w="2438" w:type="dxa"/>
          </w:tcPr>
          <w:p>
            <w:pPr>
              <w:pStyle w:val="0"/>
              <w:jc w:val="center"/>
            </w:pPr>
            <w:r>
              <w:rPr>
                <w:sz w:val="20"/>
              </w:rPr>
              <w:t xml:space="preserve">Б2</w:t>
            </w:r>
          </w:p>
        </w:tc>
      </w:tr>
      <w:tr>
        <w:tc>
          <w:tcPr>
            <w:vMerge w:val="continue"/>
          </w:tcPr>
          <w:p/>
        </w:tc>
        <w:tc>
          <w:tcPr>
            <w:tcW w:w="3685" w:type="dxa"/>
          </w:tcPr>
          <w:p>
            <w:pPr>
              <w:pStyle w:val="0"/>
            </w:pPr>
            <w:r>
              <w:rPr>
                <w:sz w:val="20"/>
              </w:rPr>
              <w:t xml:space="preserve">Обратился через представителя</w:t>
            </w:r>
          </w:p>
        </w:tc>
        <w:tc>
          <w:tcPr>
            <w:tcW w:w="2438" w:type="dxa"/>
          </w:tcPr>
          <w:p>
            <w:pPr>
              <w:pStyle w:val="0"/>
              <w:jc w:val="center"/>
            </w:pPr>
            <w:r>
              <w:rPr>
                <w:sz w:val="20"/>
              </w:rPr>
              <w:t xml:space="preserve">Б3</w:t>
            </w:r>
          </w:p>
        </w:tc>
      </w:tr>
      <w:tr>
        <w:tc>
          <w:tcPr>
            <w:vMerge w:val="continue"/>
          </w:tcPr>
          <w:p/>
        </w:tc>
        <w:tc>
          <w:tcPr>
            <w:tcW w:w="3685" w:type="dxa"/>
          </w:tcPr>
          <w:p>
            <w:pPr>
              <w:pStyle w:val="0"/>
            </w:pPr>
            <w:r>
              <w:rPr>
                <w:sz w:val="20"/>
              </w:rPr>
              <w:t xml:space="preserve">Обратился лично</w:t>
            </w:r>
          </w:p>
        </w:tc>
        <w:tc>
          <w:tcPr>
            <w:tcW w:w="2438" w:type="dxa"/>
          </w:tcPr>
          <w:p>
            <w:pPr>
              <w:pStyle w:val="0"/>
              <w:jc w:val="center"/>
            </w:pPr>
            <w:r>
              <w:rPr>
                <w:sz w:val="20"/>
              </w:rPr>
              <w:t xml:space="preserve">Б4</w:t>
            </w:r>
          </w:p>
        </w:tc>
      </w:tr>
      <w:tr>
        <w:tc>
          <w:tcPr>
            <w:tcW w:w="2891" w:type="dxa"/>
            <w:vMerge w:val="restart"/>
          </w:tcPr>
          <w:p>
            <w:pPr>
              <w:pStyle w:val="0"/>
            </w:pPr>
            <w:r>
              <w:rPr>
                <w:sz w:val="20"/>
              </w:rPr>
              <w:t xml:space="preserve">3. Переоформление лицензии на пользование недрами в отношении участков недр местного значения</w:t>
            </w:r>
          </w:p>
        </w:tc>
        <w:tc>
          <w:tcPr>
            <w:tcW w:w="3685" w:type="dxa"/>
          </w:tcPr>
          <w:p>
            <w:pPr>
              <w:pStyle w:val="0"/>
            </w:pPr>
            <w:r>
              <w:rPr>
                <w:sz w:val="20"/>
              </w:rPr>
              <w:t xml:space="preserve">Индивидуальный предприниматель</w:t>
            </w:r>
          </w:p>
        </w:tc>
        <w:tc>
          <w:tcPr>
            <w:tcW w:w="2438" w:type="dxa"/>
          </w:tcPr>
          <w:p>
            <w:pPr>
              <w:pStyle w:val="0"/>
              <w:jc w:val="center"/>
            </w:pPr>
            <w:r>
              <w:rPr>
                <w:sz w:val="20"/>
              </w:rPr>
              <w:t xml:space="preserve">В1</w:t>
            </w:r>
          </w:p>
        </w:tc>
      </w:tr>
      <w:tr>
        <w:tc>
          <w:tcPr>
            <w:vMerge w:val="continue"/>
          </w:tcPr>
          <w:p/>
        </w:tc>
        <w:tc>
          <w:tcPr>
            <w:tcW w:w="3685" w:type="dxa"/>
          </w:tcPr>
          <w:p>
            <w:pPr>
              <w:pStyle w:val="0"/>
            </w:pPr>
            <w:r>
              <w:rPr>
                <w:sz w:val="20"/>
              </w:rPr>
              <w:t xml:space="preserve">Юридическое лицо</w:t>
            </w:r>
          </w:p>
        </w:tc>
        <w:tc>
          <w:tcPr>
            <w:tcW w:w="2438" w:type="dxa"/>
          </w:tcPr>
          <w:p>
            <w:pPr>
              <w:pStyle w:val="0"/>
              <w:jc w:val="center"/>
            </w:pPr>
            <w:r>
              <w:rPr>
                <w:sz w:val="20"/>
              </w:rPr>
              <w:t xml:space="preserve">В2</w:t>
            </w:r>
          </w:p>
        </w:tc>
      </w:tr>
      <w:tr>
        <w:tc>
          <w:tcPr>
            <w:vMerge w:val="continue"/>
          </w:tcPr>
          <w:p/>
        </w:tc>
        <w:tc>
          <w:tcPr>
            <w:tcW w:w="3685" w:type="dxa"/>
          </w:tcPr>
          <w:p>
            <w:pPr>
              <w:pStyle w:val="0"/>
            </w:pPr>
            <w:r>
              <w:rPr>
                <w:sz w:val="20"/>
              </w:rPr>
              <w:t xml:space="preserve">Обратился через представителя</w:t>
            </w:r>
          </w:p>
        </w:tc>
        <w:tc>
          <w:tcPr>
            <w:tcW w:w="2438" w:type="dxa"/>
          </w:tcPr>
          <w:p>
            <w:pPr>
              <w:pStyle w:val="0"/>
              <w:jc w:val="center"/>
            </w:pPr>
            <w:r>
              <w:rPr>
                <w:sz w:val="20"/>
              </w:rPr>
              <w:t xml:space="preserve">В3</w:t>
            </w:r>
          </w:p>
        </w:tc>
      </w:tr>
      <w:tr>
        <w:tc>
          <w:tcPr>
            <w:vMerge w:val="continue"/>
          </w:tcPr>
          <w:p/>
        </w:tc>
        <w:tc>
          <w:tcPr>
            <w:tcW w:w="3685" w:type="dxa"/>
          </w:tcPr>
          <w:p>
            <w:pPr>
              <w:pStyle w:val="0"/>
            </w:pPr>
            <w:r>
              <w:rPr>
                <w:sz w:val="20"/>
              </w:rPr>
              <w:t xml:space="preserve">Обратился лично</w:t>
            </w:r>
          </w:p>
        </w:tc>
        <w:tc>
          <w:tcPr>
            <w:tcW w:w="2438" w:type="dxa"/>
          </w:tcPr>
          <w:p>
            <w:pPr>
              <w:pStyle w:val="0"/>
              <w:jc w:val="center"/>
            </w:pPr>
            <w:r>
              <w:rPr>
                <w:sz w:val="20"/>
              </w:rPr>
              <w:t xml:space="preserve">В4</w:t>
            </w:r>
          </w:p>
        </w:tc>
      </w:tr>
    </w:tbl>
    <w:p>
      <w:pPr>
        <w:pStyle w:val="0"/>
        <w:jc w:val="both"/>
      </w:pPr>
      <w:r>
        <w:rPr>
          <w:sz w:val="20"/>
        </w:rPr>
      </w:r>
    </w:p>
    <w:bookmarkStart w:id="325" w:name="P325"/>
    <w:bookmarkEnd w:id="325"/>
    <w:p>
      <w:pPr>
        <w:pStyle w:val="2"/>
        <w:outlineLvl w:val="2"/>
        <w:jc w:val="center"/>
      </w:pPr>
      <w:r>
        <w:rPr>
          <w:sz w:val="20"/>
        </w:rPr>
        <w:t xml:space="preserve">4. Исчерпывающий перечень документов, необходимых</w:t>
      </w:r>
    </w:p>
    <w:p>
      <w:pPr>
        <w:pStyle w:val="2"/>
        <w:jc w:val="center"/>
      </w:pPr>
      <w:r>
        <w:rPr>
          <w:sz w:val="20"/>
        </w:rPr>
        <w:t xml:space="preserve">для предоставления государственной услуги</w:t>
      </w:r>
    </w:p>
    <w:p>
      <w:pPr>
        <w:pStyle w:val="0"/>
        <w:jc w:val="both"/>
      </w:pPr>
      <w:r>
        <w:rPr>
          <w:sz w:val="20"/>
        </w:rPr>
      </w:r>
    </w:p>
    <w:p>
      <w:pPr>
        <w:pStyle w:val="0"/>
        <w:jc w:val="right"/>
      </w:pPr>
      <w:r>
        <w:rPr>
          <w:sz w:val="20"/>
        </w:rPr>
        <w:t xml:space="preserve">Таблица N 3</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5386"/>
        <w:gridCol w:w="1814"/>
      </w:tblGrid>
      <w:tr>
        <w:tc>
          <w:tcPr>
            <w:tcW w:w="1814" w:type="dxa"/>
            <w:vAlign w:val="center"/>
          </w:tcPr>
          <w:p>
            <w:pPr>
              <w:pStyle w:val="0"/>
              <w:jc w:val="center"/>
            </w:pPr>
            <w:r>
              <w:rPr>
                <w:sz w:val="20"/>
              </w:rPr>
              <w:t xml:space="preserve">Идентификатор категории (признака) заявителя</w:t>
            </w:r>
          </w:p>
        </w:tc>
        <w:tc>
          <w:tcPr>
            <w:tcW w:w="5386" w:type="dxa"/>
            <w:vAlign w:val="center"/>
          </w:tcPr>
          <w:p>
            <w:pPr>
              <w:pStyle w:val="0"/>
              <w:jc w:val="center"/>
            </w:pPr>
            <w:r>
              <w:rPr>
                <w:sz w:val="20"/>
              </w:rPr>
              <w:t xml:space="preserve">Наименование документов и (или) информации</w:t>
            </w:r>
          </w:p>
        </w:tc>
        <w:tc>
          <w:tcPr>
            <w:tcW w:w="1814" w:type="dxa"/>
            <w:vAlign w:val="center"/>
          </w:tcPr>
          <w:p>
            <w:pPr>
              <w:pStyle w:val="0"/>
              <w:jc w:val="center"/>
            </w:pPr>
            <w:r>
              <w:rPr>
                <w:sz w:val="20"/>
              </w:rPr>
              <w:t xml:space="preserve">Способ представления документов, требования к представлению</w:t>
            </w:r>
          </w:p>
        </w:tc>
      </w:tr>
      <w:tr>
        <w:tc>
          <w:tcPr>
            <w:tcW w:w="1814" w:type="dxa"/>
            <w:vAlign w:val="center"/>
          </w:tcPr>
          <w:p>
            <w:pPr>
              <w:pStyle w:val="0"/>
              <w:jc w:val="center"/>
            </w:pPr>
            <w:r>
              <w:rPr>
                <w:sz w:val="20"/>
              </w:rPr>
              <w:t xml:space="preserve">1</w:t>
            </w:r>
          </w:p>
        </w:tc>
        <w:tc>
          <w:tcPr>
            <w:tcW w:w="5386" w:type="dxa"/>
            <w:vAlign w:val="center"/>
          </w:tcPr>
          <w:p>
            <w:pPr>
              <w:pStyle w:val="0"/>
              <w:jc w:val="center"/>
            </w:pPr>
            <w:r>
              <w:rPr>
                <w:sz w:val="20"/>
              </w:rPr>
              <w:t xml:space="preserve">2</w:t>
            </w:r>
          </w:p>
        </w:tc>
        <w:tc>
          <w:tcPr>
            <w:tcW w:w="1814" w:type="dxa"/>
            <w:vAlign w:val="center"/>
          </w:tcPr>
          <w:p>
            <w:pPr>
              <w:pStyle w:val="0"/>
              <w:jc w:val="center"/>
            </w:pPr>
            <w:r>
              <w:rPr>
                <w:sz w:val="20"/>
              </w:rPr>
              <w:t xml:space="preserve">3</w:t>
            </w:r>
          </w:p>
        </w:tc>
      </w:tr>
      <w:tr>
        <w:tc>
          <w:tcPr>
            <w:gridSpan w:val="3"/>
            <w:tcW w:w="9014" w:type="dxa"/>
          </w:tcPr>
          <w:p>
            <w:pPr>
              <w:pStyle w:val="0"/>
              <w:outlineLvl w:val="3"/>
              <w:jc w:val="center"/>
            </w:pPr>
            <w:r>
              <w:rPr>
                <w:sz w:val="20"/>
              </w:rPr>
              <w:t xml:space="preserve">Документы и информация, необходимые в соответствии с законодательными и иными нормативными правовыми актами для предоставления государственной услуги, которые заявитель должен представить самостоятельно</w:t>
            </w:r>
          </w:p>
        </w:tc>
      </w:tr>
      <w:tr>
        <w:tc>
          <w:tcPr>
            <w:tcW w:w="1814" w:type="dxa"/>
          </w:tcPr>
          <w:p>
            <w:pPr>
              <w:pStyle w:val="0"/>
              <w:jc w:val="center"/>
            </w:pPr>
            <w:r>
              <w:rPr>
                <w:sz w:val="20"/>
              </w:rPr>
              <w:t xml:space="preserve">А1 - А4, Б1 - Б4, В1 - В4</w:t>
            </w:r>
          </w:p>
        </w:tc>
        <w:tc>
          <w:tcPr>
            <w:tcW w:w="5386" w:type="dxa"/>
          </w:tcPr>
          <w:p>
            <w:pPr>
              <w:pStyle w:val="0"/>
              <w:jc w:val="both"/>
            </w:pPr>
            <w:r>
              <w:rPr>
                <w:sz w:val="20"/>
              </w:rPr>
              <w:t xml:space="preserve">Заявка</w:t>
            </w:r>
          </w:p>
        </w:tc>
        <w:tc>
          <w:tcPr>
            <w:tcW w:w="1814" w:type="dxa"/>
          </w:tcPr>
          <w:p>
            <w:pPr>
              <w:pStyle w:val="0"/>
              <w:jc w:val="center"/>
            </w:pPr>
            <w:r>
              <w:rPr>
                <w:sz w:val="20"/>
              </w:rPr>
              <w:t xml:space="preserve">ЭД - ЛКН</w:t>
            </w:r>
          </w:p>
          <w:p>
            <w:pPr>
              <w:pStyle w:val="0"/>
              <w:jc w:val="center"/>
            </w:pPr>
            <w:r>
              <w:rPr>
                <w:sz w:val="20"/>
              </w:rPr>
              <w:t xml:space="preserve">ОД - ОИВ</w:t>
            </w:r>
          </w:p>
        </w:tc>
      </w:tr>
      <w:tr>
        <w:tc>
          <w:tcPr>
            <w:tcW w:w="1814" w:type="dxa"/>
          </w:tcPr>
          <w:p>
            <w:pPr>
              <w:pStyle w:val="0"/>
              <w:jc w:val="center"/>
            </w:pPr>
            <w:r>
              <w:rPr>
                <w:sz w:val="20"/>
              </w:rPr>
              <w:t xml:space="preserve">А1 - А4, Б1 - Б4, В1 - В4</w:t>
            </w:r>
          </w:p>
        </w:tc>
        <w:tc>
          <w:tcPr>
            <w:tcW w:w="5386" w:type="dxa"/>
          </w:tcPr>
          <w:p>
            <w:pPr>
              <w:pStyle w:val="0"/>
              <w:jc w:val="both"/>
            </w:pPr>
            <w:r>
              <w:rPr>
                <w:sz w:val="20"/>
              </w:rPr>
              <w:t xml:space="preserve">Опись документов</w:t>
            </w:r>
          </w:p>
        </w:tc>
        <w:tc>
          <w:tcPr>
            <w:tcW w:w="1814" w:type="dxa"/>
          </w:tcPr>
          <w:p>
            <w:pPr>
              <w:pStyle w:val="0"/>
              <w:jc w:val="center"/>
            </w:pPr>
            <w:r>
              <w:rPr>
                <w:sz w:val="20"/>
              </w:rPr>
              <w:t xml:space="preserve">ЭД - ЛКН</w:t>
            </w:r>
          </w:p>
          <w:p>
            <w:pPr>
              <w:pStyle w:val="0"/>
              <w:jc w:val="center"/>
            </w:pPr>
            <w:r>
              <w:rPr>
                <w:sz w:val="20"/>
              </w:rPr>
              <w:t xml:space="preserve">ОД - ОИВ</w:t>
            </w:r>
          </w:p>
        </w:tc>
      </w:tr>
      <w:tr>
        <w:tc>
          <w:tcPr>
            <w:tcW w:w="1814" w:type="dxa"/>
          </w:tcPr>
          <w:p>
            <w:pPr>
              <w:pStyle w:val="0"/>
              <w:jc w:val="center"/>
            </w:pPr>
            <w:r>
              <w:rPr>
                <w:sz w:val="20"/>
              </w:rPr>
              <w:t xml:space="preserve">А2 - А4</w:t>
            </w:r>
          </w:p>
        </w:tc>
        <w:tc>
          <w:tcPr>
            <w:tcW w:w="5386" w:type="dxa"/>
          </w:tcPr>
          <w:p>
            <w:pPr>
              <w:pStyle w:val="0"/>
              <w:jc w:val="both"/>
            </w:pPr>
            <w:r>
              <w:rPr>
                <w:sz w:val="20"/>
              </w:rPr>
              <w:t xml:space="preserve">Копия учредительного документа (для юридического лица)</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Доверенность, выданная в установленном порядке (в случае, если интересы заявителя представляются лицом, не имеющим право действовать от имени заявителя без доверенности)</w:t>
            </w:r>
          </w:p>
        </w:tc>
        <w:tc>
          <w:tcPr>
            <w:tcW w:w="1814" w:type="dxa"/>
          </w:tcPr>
          <w:p>
            <w:pPr>
              <w:pStyle w:val="0"/>
            </w:pPr>
            <w:r>
              <w:rPr>
                <w:sz w:val="20"/>
              </w:rPr>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Справка о наличии технических средств для эффективного и безопасного осуществления пользования участком недр местного значения с документарным подтверждением их принадлежности заявителю либо лицам, привлекаемым в качестве подрядчиков</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p>
            <w:pPr>
              <w:pStyle w:val="0"/>
              <w:jc w:val="center"/>
            </w:pPr>
            <w:r>
              <w:rPr>
                <w:sz w:val="20"/>
              </w:rPr>
              <w:t xml:space="preserve">В1 - В4</w:t>
            </w:r>
          </w:p>
        </w:tc>
        <w:tc>
          <w:tcPr>
            <w:tcW w:w="5386" w:type="dxa"/>
          </w:tcPr>
          <w:p>
            <w:pPr>
              <w:pStyle w:val="0"/>
              <w:jc w:val="both"/>
            </w:pPr>
            <w:r>
              <w:rPr>
                <w:sz w:val="20"/>
              </w:rPr>
              <w:t xml:space="preserve">Копии договоров с юридическими и (или) физическими лицами, привлекаемыми для осуществления пользования участком недр местного значения, в том числе заключенных под отлагательным условием в соответствии со </w:t>
            </w:r>
            <w:hyperlink w:history="0" r:id="rId72" w:tooltip="&quot;Гражданский кодекс Российской Федерации (часть первая)&quot; от 30.11.1994 N 51-ФЗ (ред. от 10.06.2026) {КонсультантПлюс}">
              <w:r>
                <w:rPr>
                  <w:sz w:val="20"/>
                  <w:color w:val="0000ff"/>
                </w:rPr>
                <w:t xml:space="preserve">статьей 157</w:t>
              </w:r>
            </w:hyperlink>
            <w:r>
              <w:rPr>
                <w:sz w:val="20"/>
              </w:rPr>
              <w:t xml:space="preserve"> Гражданского кодекса Российской Федерации (в случае, если осуществление отдельных видов деятельности, связанных с пользованием участком недр местного значения, планируется проводить с привлечением юридических и (или) физических лиц)</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Сведения о кадровом составе заявителя, квалифицированных специалистах, которые будут непосредственно осуществлять работы по освоению участка недр местного значения</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Обзорная карта (схема) участка недр местного значения, подготовленная в системе координат ГСК - 2011</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Геологические материалы по участку недр местного значения (пояснительная записка, копии топографического плана и плана подсчета запасов с указанием контура и географических координат угловых точек участка, геологолитологических разрезов) (для получения права пользования участком недр местного значения в целях, указанных в абзаце третьем </w:t>
            </w:r>
            <w:hyperlink w:history="0" r:id="rId73" w:tooltip="Закон РФ от 21.02.1992 N 2395-1 (ред. от 08.03.2026) &quot;О недрах&quot; (с изм. и доп., вступ. в силу с 01.07.2026) {КонсультантПлюс}">
              <w:r>
                <w:rPr>
                  <w:sz w:val="20"/>
                  <w:color w:val="0000ff"/>
                </w:rPr>
                <w:t xml:space="preserve">пункта 1 части 1 статьи 4</w:t>
              </w:r>
            </w:hyperlink>
            <w:r>
              <w:rPr>
                <w:sz w:val="20"/>
              </w:rPr>
              <w:t xml:space="preserve"> Закона о недрах)</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Справка, содержащая обоснование потребности в подземных водах с учетом перспективы развития (расчет величины водопотребления) (для получения права пользования участком недр местного значения в целях, указанных в абзацах шестом и восьмом </w:t>
            </w:r>
            <w:hyperlink w:history="0" r:id="rId74" w:tooltip="Закон РФ от 21.02.1992 N 2395-1 (ред. от 08.03.2026) &quot;О недрах&quot; (с изм. и доп., вступ. в силу с 01.07.2026) {КонсультантПлюс}">
              <w:r>
                <w:rPr>
                  <w:sz w:val="20"/>
                  <w:color w:val="0000ff"/>
                </w:rPr>
                <w:t xml:space="preserve">пункта 1 части 1 статьи 4</w:t>
              </w:r>
            </w:hyperlink>
            <w:r>
              <w:rPr>
                <w:sz w:val="20"/>
              </w:rPr>
              <w:t xml:space="preserve"> Закона о недрах)</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Паспорт водозаборного сооружения (при наличии водозаборного сооружения)</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Экспертное заключение, содержащее сведения о качестве подземных вод, о размере и об оборудовании зоны санитарной охраны первого пояса водозаборной скважины (для целей питьевого и хозяйственно-бытового водоснабжения)</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Гидрогеологическое заключение о возможности удовлетворения заявляемой потребности в воде на подлежащем лицензированию участке недр местного значения (для проектируемых водозаборных скважин)</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Программа геологического изучения участка недр местного значения с указанием видов, объемов, сроков проведения работ, ожидаемых результатов геологического изучения, в том числе по приросту запасов общераспространенных полезных ископаемых или подземных вод (для получения права пользования участком недр местного значения в целях поисков и оценки месторождений общераспространенных полезных ископаемых, в целях поисков и оценки подземных вод, осуществляемого за счет собственных средств заявителя, в том числе привлеченных средств)</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Б1 - Б4, В1 - В4</w:t>
            </w:r>
          </w:p>
        </w:tc>
        <w:tc>
          <w:tcPr>
            <w:tcW w:w="5386" w:type="dxa"/>
          </w:tcPr>
          <w:p>
            <w:pPr>
              <w:pStyle w:val="0"/>
              <w:jc w:val="both"/>
            </w:pPr>
            <w:r>
              <w:rPr>
                <w:sz w:val="20"/>
              </w:rPr>
              <w:t xml:space="preserve">Документы, подтверждающие полномочия лица на осуществление действий от имени заявителя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 либо доверенность на осуществление действий от имени заявителя, оформленная в установленном порядке)</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Б1 - Б4</w:t>
            </w:r>
          </w:p>
        </w:tc>
        <w:tc>
          <w:tcPr>
            <w:tcW w:w="5386" w:type="dxa"/>
          </w:tcPr>
          <w:p>
            <w:pPr>
              <w:pStyle w:val="0"/>
              <w:jc w:val="both"/>
            </w:pPr>
            <w:r>
              <w:rPr>
                <w:sz w:val="20"/>
              </w:rPr>
              <w:t xml:space="preserve">Текстовые и (или) графические документы и материалы, содержащие сравнительные характеристики соответствующего раздела лицензии на пользование участком недр местного значения, в который предлагается внести изменения (в свободной форме)</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Б1 - Б4</w:t>
            </w:r>
          </w:p>
        </w:tc>
        <w:tc>
          <w:tcPr>
            <w:tcW w:w="5386" w:type="dxa"/>
          </w:tcPr>
          <w:p>
            <w:pPr>
              <w:pStyle w:val="0"/>
              <w:jc w:val="both"/>
            </w:pPr>
            <w:r>
              <w:rPr>
                <w:sz w:val="20"/>
              </w:rPr>
              <w:t xml:space="preserve">Информация о выполнении пользователем недр условий пользования участком недр местного значения, предусмотренных лицензией на пользование участком недр местного значения, касающихся плановых и фактических сроков выполнения условий лицензии на пользование участком недр местного значения (в свободной форме)</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Заверенные в соответствии с требованиями законодательства Российской Федерации копии учредительных документов заявителя, а в случае, если заявитель действует на основании типового устава, предусмотренного </w:t>
            </w:r>
            <w:hyperlink w:history="0" r:id="rId75" w:tooltip="&quot;Гражданский кодекс Российской Федерации (часть первая)&quot; от 30.11.1994 N 51-ФЗ (ред. от 10.06.2026) {КонсультантПлюс}">
              <w:r>
                <w:rPr>
                  <w:sz w:val="20"/>
                  <w:color w:val="0000ff"/>
                </w:rPr>
                <w:t xml:space="preserve">пунктом 2 статьи 52</w:t>
              </w:r>
            </w:hyperlink>
            <w:r>
              <w:rPr>
                <w:sz w:val="20"/>
              </w:rPr>
              <w:t xml:space="preserve"> Гражданского кодекса Российской Федерации, - сведения о номере типового устава, на основании которого действует заявитель (в случае переоформления лицензии на пользование участком недр местного значения по основаниям, предусмотренным </w:t>
            </w:r>
            <w:hyperlink w:history="0" r:id="rId76"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1</w:t>
              </w:r>
            </w:hyperlink>
            <w:r>
              <w:rPr>
                <w:sz w:val="20"/>
              </w:rPr>
              <w:t xml:space="preserve"> - </w:t>
            </w:r>
            <w:hyperlink w:history="0" r:id="rId77"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3</w:t>
              </w:r>
            </w:hyperlink>
            <w:r>
              <w:rPr>
                <w:sz w:val="20"/>
              </w:rPr>
              <w:t xml:space="preserve">, </w:t>
            </w:r>
            <w:hyperlink w:history="0" r:id="rId78"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9</w:t>
              </w:r>
            </w:hyperlink>
            <w:r>
              <w:rPr>
                <w:sz w:val="20"/>
              </w:rPr>
              <w:t xml:space="preserve"> - </w:t>
            </w:r>
            <w:hyperlink w:history="0" r:id="rId79"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10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Заверенные в соответствии с требованиями законодательства Российской Федерации копии учредительных документов заявителя и пользователя недр по переоформляемой лицензии на пользование недрами, а в случае, если заявитель и (или) пользователь недр по переоформляемой лицензии на пользование недрами действуют на основании типового устава, предусмотренного </w:t>
            </w:r>
            <w:hyperlink w:history="0" r:id="rId80" w:tooltip="&quot;Гражданский кодекс Российской Федерации (часть первая)&quot; от 30.11.1994 N 51-ФЗ (ред. от 10.06.2026) {КонсультантПлюс}">
              <w:r>
                <w:rPr>
                  <w:sz w:val="20"/>
                  <w:color w:val="0000ff"/>
                </w:rPr>
                <w:t xml:space="preserve">пунктом 2 статьи 52</w:t>
              </w:r>
            </w:hyperlink>
            <w:r>
              <w:rPr>
                <w:sz w:val="20"/>
              </w:rPr>
              <w:t xml:space="preserve"> Гражданского кодекса Российской Федерации, - сведения о номере типового устава, на основании которого действуют заявитель и (или) пользователь недр по переоформляемой лицензии на пользование недрами (в случае переоформления лицензии на пользование участком недр местного значения по основаниям, предусмотренным </w:t>
            </w:r>
            <w:hyperlink w:history="0" r:id="rId81"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4</w:t>
              </w:r>
            </w:hyperlink>
            <w:r>
              <w:rPr>
                <w:sz w:val="20"/>
              </w:rPr>
              <w:t xml:space="preserve"> - </w:t>
            </w:r>
            <w:hyperlink w:history="0" r:id="rId82"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5</w:t>
              </w:r>
            </w:hyperlink>
            <w:r>
              <w:rPr>
                <w:sz w:val="20"/>
              </w:rPr>
              <w:t xml:space="preserve">, </w:t>
            </w:r>
            <w:hyperlink w:history="0" r:id="rId83"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7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Заверенные в соответствии с требованиями законодательства Российской Федерации копии учредительных документов заявителя, содержащих указание на то, что новое юридическое лицо (заявитель) создано для продолжения деятельности на предоставленном предыдущему юридическому лицу (пользователю недр) участке недр местного значения (за исключением случая, если заявитель действует на основании типового устава, предусмотренного </w:t>
            </w:r>
            <w:hyperlink w:history="0" r:id="rId84" w:tooltip="&quot;Гражданский кодекс Российской Федерации (часть первая)&quot; от 30.11.1994 N 51-ФЗ (ред. от 10.06.2026) {КонсультантПлюс}">
              <w:r>
                <w:rPr>
                  <w:sz w:val="20"/>
                  <w:color w:val="0000ff"/>
                </w:rPr>
                <w:t xml:space="preserve">пунктом 2 статьи 52</w:t>
              </w:r>
            </w:hyperlink>
            <w:r>
              <w:rPr>
                <w:sz w:val="20"/>
              </w:rPr>
              <w:t xml:space="preserve"> Гражданского кодекса Российской Федерации) (в случае переоформления лицензии на пользование участком недр местного значения по основанию, предусмотренному </w:t>
            </w:r>
            <w:hyperlink w:history="0" r:id="rId85"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подпунктом 6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Заверенные в соответствии с требованиями законодательства Российской Федерации копии учредительных документов пользователя недр по переоформляемой лицензии на пользование недрами, а в случае, если пользователь недр по переоформляемой лицензии на пользование недрами действует на основании типового устава, предусмотренного </w:t>
            </w:r>
            <w:hyperlink w:history="0" r:id="rId86" w:tooltip="&quot;Гражданский кодекс Российской Федерации (часть первая)&quot; от 30.11.1994 N 51-ФЗ (ред. от 10.06.2026) {КонсультантПлюс}">
              <w:r>
                <w:rPr>
                  <w:sz w:val="20"/>
                  <w:color w:val="0000ff"/>
                </w:rPr>
                <w:t xml:space="preserve">пунктом 2 статьи 52</w:t>
              </w:r>
            </w:hyperlink>
            <w:r>
              <w:rPr>
                <w:sz w:val="20"/>
              </w:rPr>
              <w:t xml:space="preserve"> Гражданского кодекса Российской Федерации, - сведения о номере типового устава, на основании которого действует пользователь недр по переоформляемой лицензии на пользование недрами (в случае переоформления лицензии на пользование участком недр местного значения по основанию, предусмотренному </w:t>
            </w:r>
            <w:hyperlink w:history="0" r:id="rId87"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подпунктом 6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Заверенные в соответствии с требованиями законодательства Российской Федерации копии учредительных документов основного общества заявителя и пользователя недр по переоформляемой лицензии на пользование недрами, а в случае, если основное общество заявителя и пользователя недр по переоформляемой лицензии на пользование недрами действует на основании типового устава, предусмотренного </w:t>
            </w:r>
            <w:hyperlink w:history="0" r:id="rId88" w:tooltip="&quot;Гражданский кодекс Российской Федерации (часть первая)&quot; от 30.11.1994 N 51-ФЗ (ред. от 10.06.2026) {КонсультантПлюс}">
              <w:r>
                <w:rPr>
                  <w:sz w:val="20"/>
                  <w:color w:val="0000ff"/>
                </w:rPr>
                <w:t xml:space="preserve">пунктом 2 статьи 52</w:t>
              </w:r>
            </w:hyperlink>
            <w:r>
              <w:rPr>
                <w:sz w:val="20"/>
              </w:rPr>
              <w:t xml:space="preserve"> Гражданского кодекса Российской Федерации, - сведения о номере типового устава, на основании которого действует основное общество заявителя и пользователя недр по переоформляемой лицензии на пользование недрами (в случае передачи права пользования участком недр юридическим лицом - пользователем недр, являющимся дочерним обществом основного общества, юридическому лицу, являющемуся дочерним обществом того же основного общества, по его указанию)</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Перечень квалифицированных специалистов, являющихся работниками заявителя, а также квалифицированных специалистов юридических и (или) физических лиц, привлекаемых для осуществления пользования участком недр местного значения (в случае, если осуществление отдельных видов деятельности, связанных с пользованием участком недр местного значения, планируется осуществлять с привлечением юридических и (или) физических лиц), с приложением штатных расписаний заявителя и (или) юридических лиц, привлекаемых для осуществления пользования участком недр местного значения, подтверждающих наличие квалифицированных специалистов, необходимых для эффективного и безопасного осуществления пользования участком недр местного значения (в случае переоформления лицензии на пользование участком недр местного значения по основаниям, предусмотренным </w:t>
            </w:r>
            <w:hyperlink w:history="0" r:id="rId89"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2</w:t>
              </w:r>
            </w:hyperlink>
            <w:r>
              <w:rPr>
                <w:sz w:val="20"/>
              </w:rPr>
              <w:t xml:space="preserve"> - </w:t>
            </w:r>
            <w:hyperlink w:history="0" r:id="rId90"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8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 В перечне квалифицированных специалистов указываются фамилия, имя, отчество (при наличии), должность, квалификация каждого специалиста, реквизиты трудового или гражданско-правового договора, заключенного со специалистом, информация о том, является ли специалист работником заявителя или работником юридического лица, привлекаемого для осуществления пользования участком недр местного значения</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Действующая лицензия на пользование недрами со всеми приложениями к ней, подлежащая переоформлению</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Перечень технических средств заявителя, а также технических средств юридических и (или) физических лиц, привлекаемых для осуществления пользования участком недр местного значения (в случае, если осуществление отдельных видов деятельности, связанных с пользованием участком недр, планируется осуществлять с привлечением юридических и (или) физических лиц), с приложением данных регистра бухгалтерского учета, отражающих информацию по основным средствам заявителя и (или) юридических лиц, привлекаемых для осуществления пользования участком недр местного значения, подтверждающую наличие технических средств, необходимых для эффективного и безопасного осуществления пользования участком недр (в случае переоформления лицензии на пользование участком недр местного значения по основаниям, предусмотренным </w:t>
            </w:r>
            <w:hyperlink w:history="0" r:id="rId91"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2</w:t>
              </w:r>
            </w:hyperlink>
            <w:r>
              <w:rPr>
                <w:sz w:val="20"/>
              </w:rPr>
              <w:t xml:space="preserve"> - </w:t>
            </w:r>
            <w:hyperlink w:history="0" r:id="rId92"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8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 В перечне технических средств заявителя указываются наименования технических средств, их количество, заводские, инвентарные или регистрационные номера, реквизиты документов, подтверждающих нахождение таких технических средств во владении и пользовании заявителя и (или) юридического лица, физического лица, привлекаемых для осуществления пользования участком недр местного значения</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Справка налогового органа о наличии (об отсутствии) у заявителя задолженности по уплате налоговых платежей в бюджеты различных уровней (в случае переоформления лицензии на пользование участком недр местного значения по основаниям, предусмотренным </w:t>
            </w:r>
            <w:hyperlink w:history="0" r:id="rId93"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2</w:t>
              </w:r>
            </w:hyperlink>
            <w:r>
              <w:rPr>
                <w:sz w:val="20"/>
              </w:rPr>
              <w:t xml:space="preserve"> - </w:t>
            </w:r>
            <w:hyperlink w:history="0" r:id="rId94"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8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Копия бухгалтерского баланса заявителя (с приложением всех обязательных форм) за последний отчетный период, предшествующий подаче заявки, с отметкой налогового органа о его принятии (в случае переоформления лицензии на пользование участком недр местного значения по основаниям, предусмотренным </w:t>
            </w:r>
            <w:hyperlink w:history="0" r:id="rId95"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2</w:t>
              </w:r>
            </w:hyperlink>
            <w:r>
              <w:rPr>
                <w:sz w:val="20"/>
              </w:rPr>
              <w:t xml:space="preserve"> - </w:t>
            </w:r>
            <w:hyperlink w:history="0" r:id="rId96"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8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Перечень лицензий (разрешений) на осуществление отдельных видов деятельности, необходимых для осуществления пользования участком недр местного значения в соответствии с планируемой технологией проведения работ и предусмотренных Федеральным </w:t>
            </w:r>
            <w:hyperlink w:history="0" r:id="rId97" w:tooltip="Федеральный закон от 04.05.2011 N 99-ФЗ (ред. от 08.03.2026) &quot;О лицензировании отдельных видов деятельности&quot; {КонсультантПлюс}">
              <w:r>
                <w:rPr>
                  <w:sz w:val="20"/>
                  <w:color w:val="0000ff"/>
                </w:rPr>
                <w:t xml:space="preserve">законом</w:t>
              </w:r>
            </w:hyperlink>
            <w:r>
              <w:rPr>
                <w:sz w:val="20"/>
              </w:rPr>
              <w:t xml:space="preserve"> от 4 мая 2011 года N 99-ФЗ "О лицензировании отдельных видов деятельности", заявителя, а также привлеченных им юридических и (или) физических лиц (в случае, если осуществление отдельных видов деятельности, связанных с пользованием участком недр местного значения, планируется осуществлять с привлечением юридических и (или) физических лиц) (в случае переоформления лицензии на пользование участком недр местного значения по основаниям, предусмотренным </w:t>
            </w:r>
            <w:hyperlink w:history="0" r:id="rId98"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2</w:t>
              </w:r>
            </w:hyperlink>
            <w:r>
              <w:rPr>
                <w:sz w:val="20"/>
              </w:rPr>
              <w:t xml:space="preserve"> - </w:t>
            </w:r>
            <w:hyperlink w:history="0" r:id="rId99"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8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 В перечне лицензий (разрешений) на осуществление отдельных видов деятельности, предусмотренном настоящим подпунктом, указываются регистрационные номера лицензий (разрешений) и даты их предоставления</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Согласие пользователя недр в простой письменной форме по переоформляемой лицензии на пользование недрами на ее переоформление, представляемое с приложением документов, указанных в </w:t>
            </w:r>
            <w:hyperlink w:history="0" r:id="rId100"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пункте 7</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 (в случае переоформления лицензии на пользование участком недр местного значения по основаниям, предусмотренным подпунктами 4 - 7 пункта 1 Порядка переоформления лицензий на пользование недрами в отношении участков недр местного значения, утвержденного </w:t>
            </w:r>
            <w:hyperlink w:history="0" r:id="rId101"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приказом</w:t>
              </w:r>
            </w:hyperlink>
            <w:r>
              <w:rPr>
                <w:sz w:val="20"/>
              </w:rPr>
              <w:t xml:space="preserve">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Согласие пользователя недр в простой письменной форме по переоформляемой лицензии на пользование недрами на ее переоформление, подписанное конкурсным управляющим, утвержденным в деле о банкротстве юридического лица - пользователя недр по переоформляемой лицензии на пользование недрами, признанного несостоятельным (банкротом) в соответствии с законодательством Российской Федерации о несостоятельности (банкротстве), финансовым управляющим, утвержденным в деле о банкротстве индивидуального предпринимателя - пользователя недр по переоформляемой лицензии на пользование недрами, признанного несостоятельным (банкротом) в соответствии с законодательством Российской Федерации о несостоятельности (банкротстве) (в случае переоформления лицензии на пользование участком недр местного значения по основанию, предусмотренному </w:t>
            </w:r>
            <w:hyperlink w:history="0" r:id="rId102"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подпунктом 8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Копия передаточного акта, который должен содержать положения о правопреемстве заявителя по всем обязательствам, связанным с пользованием недрами по переоформляемой лицензии на пользование недрами, реорганизованного юридического лица - пользователя недр в отношении всех его кредиторов и должников, включая обязательства, оспариваемые сторонами, а также </w:t>
            </w:r>
            <w:hyperlink w:history="0" r:id="rId103"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порядок</w:t>
              </w:r>
            </w:hyperlink>
            <w:r>
              <w:rPr>
                <w:sz w:val="20"/>
              </w:rPr>
              <w:t xml:space="preserve">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 (в случае переоформления лицензии на пользование участком недр местного значения по основаниям, предусмотренным </w:t>
            </w:r>
            <w:hyperlink w:history="0" r:id="rId104"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4</w:t>
              </w:r>
            </w:hyperlink>
            <w:r>
              <w:rPr>
                <w:sz w:val="20"/>
              </w:rPr>
              <w:t xml:space="preserve"> и </w:t>
            </w:r>
            <w:hyperlink w:history="0" r:id="rId105"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5 пункта 1 Порядка</w:t>
              </w:r>
            </w:hyperlink>
            <w:r>
              <w:rPr>
                <w:sz w:val="20"/>
              </w:rPr>
              <w:t xml:space="preserve">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Копия акта приема-передачи геологической информации о недрах по участку недр, предоставленному в пользование по переоформляемой лицензии на пользование недрами, обладателем которой является пользователь недр по переоформляемой лицензии на пользование недрами, от пользователя недр по переоформляемой лицензии на пользование недрами к заявителю (в случае переоформления лицензии на пользование участком недр местного значения по основаниям, предусмотренным </w:t>
            </w:r>
            <w:hyperlink w:history="0" r:id="rId106"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4</w:t>
              </w:r>
            </w:hyperlink>
            <w:r>
              <w:rPr>
                <w:sz w:val="20"/>
              </w:rPr>
              <w:t xml:space="preserve"> - </w:t>
            </w:r>
            <w:hyperlink w:history="0" r:id="rId107"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8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Копия акта приема-передачи проектной документации на осуществление геологического изучения недр, разведки месторождений полезных ископаемых, предусмотренной </w:t>
            </w:r>
            <w:hyperlink w:history="0" r:id="rId108" w:tooltip="Закон РФ от 21.02.1992 N 2395-1 (ред. от 08.03.2026) &quot;О недрах&quot; (с изм. и доп., вступ. в силу с 01.07.2026) {КонсультантПлюс}">
              <w:r>
                <w:rPr>
                  <w:sz w:val="20"/>
                  <w:color w:val="0000ff"/>
                </w:rPr>
                <w:t xml:space="preserve">статьей 36.1</w:t>
              </w:r>
            </w:hyperlink>
            <w:r>
              <w:rPr>
                <w:sz w:val="20"/>
              </w:rPr>
              <w:t xml:space="preserve"> Закона Российской Федерации "О недрах" (при наличии), технического проекта разработки месторождений полезных ископаемых, технического проекта строительства и эксплуатации подземных сооружений, проектной документации на разработку технологий геологического изучения, разведки и добычи трудноизвлекаемых полезных ископаемых, предусмотренных </w:t>
            </w:r>
            <w:hyperlink w:history="0" r:id="rId109" w:tooltip="Закон РФ от 21.02.1992 N 2395-1 (ред. от 08.03.2026) &quot;О недрах&quot; (с изм. и доп., вступ. в силу с 01.07.2026) {КонсультантПлюс}">
              <w:r>
                <w:rPr>
                  <w:sz w:val="20"/>
                  <w:color w:val="0000ff"/>
                </w:rPr>
                <w:t xml:space="preserve">статьей 23.2</w:t>
              </w:r>
            </w:hyperlink>
            <w:r>
              <w:rPr>
                <w:sz w:val="20"/>
              </w:rPr>
              <w:t xml:space="preserve"> Закона Российской Федерации "О недрах" (при наличии), по участку недр местного значения, предоставленному в пользование по переоформляемой лицензии на пользование недрами, от пользователя недр по переоформляемой лицензии на пользование недрами к заявителю (в случае переоформления лицензии на пользование участком недр местного значения по основаниям, предусмотренным </w:t>
            </w:r>
            <w:hyperlink w:history="0" r:id="rId110"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4</w:t>
              </w:r>
            </w:hyperlink>
            <w:r>
              <w:rPr>
                <w:sz w:val="20"/>
              </w:rPr>
              <w:t xml:space="preserve"> - </w:t>
            </w:r>
            <w:hyperlink w:history="0" r:id="rId111"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8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Копия решения об учреждении (создании) нового юридического лица (заявителя) в виде протокола, договора или иного документа в соответствии с законодательством Российской Федерации, содержащего указание на то, что новое юридическое лицо (заявитель) создано для продолжения деятельности на предоставленном предыдущему юридическому лицу (пользователю недр) участке недр, а также сведения о номере типового устава, предусмотренного </w:t>
            </w:r>
            <w:hyperlink w:history="0" r:id="rId112" w:tooltip="&quot;Гражданский кодекс Российской Федерации (часть первая)&quot; от 30.11.1994 N 51-ФЗ (ред. от 10.06.2026) {КонсультантПлюс}">
              <w:r>
                <w:rPr>
                  <w:sz w:val="20"/>
                  <w:color w:val="0000ff"/>
                </w:rPr>
                <w:t xml:space="preserve">пунктом 2 статьи 52</w:t>
              </w:r>
            </w:hyperlink>
            <w:r>
              <w:rPr>
                <w:sz w:val="20"/>
              </w:rPr>
              <w:t xml:space="preserve"> Гражданского кодекса Российской Федерации, на основании которого действует заявитель (в случае, если заявитель действует на основании типового устава, предусмотренного </w:t>
            </w:r>
            <w:hyperlink w:history="0" r:id="rId113" w:tooltip="&quot;Гражданский кодекс Российской Федерации (часть первая)&quot; от 30.11.1994 N 51-ФЗ (ред. от 10.06.2026) {КонсультантПлюс}">
              <w:r>
                <w:rPr>
                  <w:sz w:val="20"/>
                  <w:color w:val="0000ff"/>
                </w:rPr>
                <w:t xml:space="preserve">пунктом 2 статьи 52</w:t>
              </w:r>
            </w:hyperlink>
            <w:r>
              <w:rPr>
                <w:sz w:val="20"/>
              </w:rPr>
              <w:t xml:space="preserve"> Гражданского кодекса Российской Федерации) (в случае переоформления лицензии на пользование участком недр местного значения по основанию, предусмотренному </w:t>
            </w:r>
            <w:hyperlink w:history="0" r:id="rId114"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подпунктом 6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Заверенная в соответствии с требованиями законодательства Российской Федерации копия решения уполномоченного органа управления пользователя недр по переоформляемой лицензии на пользование участком недр местного значения, принятого в </w:t>
            </w:r>
            <w:hyperlink w:history="0" r:id="rId115"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порядке</w:t>
              </w:r>
            </w:hyperlink>
            <w:r>
              <w:rPr>
                <w:sz w:val="20"/>
              </w:rPr>
              <w:t xml:space="preserve">, предусмотренном учредительными документами данного юридического лица - пользователя недр, об одобрении перехода права пользования участком недр по переоформляемой лицензии на пользование недрами к заявителю (в случае переоформления лицензии на пользование участком недр местного значения по основаниям, предусмотренным </w:t>
            </w:r>
            <w:hyperlink w:history="0" r:id="rId116"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6</w:t>
              </w:r>
            </w:hyperlink>
            <w:r>
              <w:rPr>
                <w:sz w:val="20"/>
              </w:rPr>
              <w:t xml:space="preserve"> - </w:t>
            </w:r>
            <w:hyperlink w:history="0" r:id="rId117"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7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Копии документов (договоров и (или) актов приема-передачи), подтверждающих передачу заявителю имущества, необходимого для осуществления деятельности, указанной в лицензии на пользование недрами, в том числе из состава имущества объектов обустройства в границах участка недр местного значения, от пользователя недр по переоформляемой лицензии на пользование недрами или иного лица (в случае переоформления лицензии на пользование участком недр местного значения по основаниям, предусмотренным </w:t>
            </w:r>
            <w:hyperlink w:history="0" r:id="rId118"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6</w:t>
              </w:r>
            </w:hyperlink>
            <w:r>
              <w:rPr>
                <w:sz w:val="20"/>
              </w:rPr>
              <w:t xml:space="preserve"> - </w:t>
            </w:r>
            <w:hyperlink w:history="0" r:id="rId119"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7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Перечень объектов недвижимости, входящих в состав переданного заявителю имущества, необходимого для осуществления деятельности, указанной в лицензии на пользование недрами, в том числе из состава имущества объектов обустройства в границах участка недр местного значения, от пользователя недр по переоформляемой лицензии на пользование недрами или иного лица, с указанием кадастровых номеров объектов недвижимости и даты их присвоения, описания местоположения объектов недвижимости, степени готовности объектов незавершенного строительства в процентах (для объектов незавершенного строительства), вид вещного права (при наличии), номер регистрации и дата государственной регистрации такого права в реестре прав, ограничений прав и обременений недвижимого имущества (при наличии), сведения об основаниях перехода права на объект недвижимости к заявителю (в случае передачи заявителю таких объектов недвижимости) (в случае переоформления лицензии на пользование участком недр местного значения по основаниям, предусмотренным </w:t>
            </w:r>
            <w:hyperlink w:history="0" r:id="rId120"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6</w:t>
              </w:r>
            </w:hyperlink>
            <w:r>
              <w:rPr>
                <w:sz w:val="20"/>
              </w:rPr>
              <w:t xml:space="preserve"> - </w:t>
            </w:r>
            <w:hyperlink w:history="0" r:id="rId121"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7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Указание в простой письменной форме основного общества на переоформление лицензии на пользование недрами (в случае передачи права пользования участком недр юридическим лицом - пользователем недр, являющимся дочерним обществом основного общества, юридическому лицу, являющемуся дочерним обществом того же основного общества, по его указанию)</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Документы, подтверждающие статус основного и дочернего обществ (в случае переоформления лицензии на пользование участком недр местного значения по основанию, предусмотренному </w:t>
            </w:r>
            <w:hyperlink w:history="0" r:id="rId122"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подпунктом 7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Копия решения общего собрания кредиторов или комитета кредиторов пользователя недр по переоформляемой лицензии на пользование недрами, признанного несостоятельным (банкротом) в соответствии с законодательством Российской Федерации о несостоятельности (банкротстве), о согласии на ее переоформление (в случае переоформления лицензии на пользование участком недр местного значения по основанию, предусмотренному </w:t>
            </w:r>
            <w:hyperlink w:history="0" r:id="rId123"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подпунктом 8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Копии документов (договоров и (или) актов приема-передачи), подтверждающих приобретение заявителем имущества (имущественного комплекса) пользователя недр, признанного несостоятельным (банкротом) в соответствии с законодательством Российской Федерации о несостоятельности (банкротстве), находящегося в границах участка недр местного значения и (или) связанного с осуществлением пользования недрами на участке недр местного значения, предоставленном в пользование по переоформляемой лицензии на пользование недрами (в случае переоформления лицензии на пользование участком недр местного значения по основанию, предусмотренному </w:t>
            </w:r>
            <w:hyperlink w:history="0" r:id="rId124"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подпунктом 8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Перечень объектов недвижимости, входящих в состав приобретенного заявителем имущества (имущественного комплекса) пользователя недр, признанного несостоятельным (банкротом) в соответствии с законодательством Российской Федерации о несостоятельности (банкротстве), с указанием кадастровых номеров объектов недвижимости и даты их присвоения, описания местоположения объектов недвижимости, степени готовности объектов незавершенного строительства в процентах (для объектов незавершенного строительства), вид вещного права (при наличии), номер регистрации и дата государственной регистрации такого права в реестре прав, ограничений прав и обременений недвижимого имущества (при наличии), сведения об основаниях перехода права на объект недвижимости к заявителю (в случае приобретения заявителем таких объектов недвижимости) (в случае переоформления лицензии на пользование участком недр местного значения по основанию, предусмотренному </w:t>
            </w:r>
            <w:hyperlink w:history="0" r:id="rId125"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подпунктом 8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Копия заключенного с заявителем концессионного соглашения, договора аренды или иного договора в отношении централизованных систем горячего водоснабжения, холодного водоснабжения и (или) водоотведения, отдельных объектов таких систем, предусмотренных Федеральным </w:t>
            </w:r>
            <w:hyperlink w:history="0" r:id="rId126" w:tooltip="Федеральный закон от 07.12.2011 N 416-ФЗ (ред. от 23.03.2026) &quot;О водоснабжении и водоотведении&quot; {КонсультантПлюс}">
              <w:r>
                <w:rPr>
                  <w:sz w:val="20"/>
                  <w:color w:val="0000ff"/>
                </w:rPr>
                <w:t xml:space="preserve">законом</w:t>
              </w:r>
            </w:hyperlink>
            <w:r>
              <w:rPr>
                <w:sz w:val="20"/>
              </w:rPr>
              <w:t xml:space="preserve"> "О водоснабжении и водоотведении" (в случае переоформления лицензии на пользование участком недр местного значения по основанию, предусмотренному </w:t>
            </w:r>
            <w:hyperlink w:history="0" r:id="rId127"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подпунктом 9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Реквизиты соглашения о разделе продукции, на основании которого пользователю недр по переоформляемой лицензии на пользование недрами предоставлено право пользования участком недр в соответствии с Федеральным </w:t>
            </w:r>
            <w:hyperlink w:history="0" r:id="rId128" w:tooltip="Федеральный закон от 30.12.1995 N 225-ФЗ (ред. от 08.12.2020) &quot;О соглашениях о разделе продукции&quot; {КонсультантПлюс}">
              <w:r>
                <w:rPr>
                  <w:sz w:val="20"/>
                  <w:color w:val="0000ff"/>
                </w:rPr>
                <w:t xml:space="preserve">законом</w:t>
              </w:r>
            </w:hyperlink>
            <w:r>
              <w:rPr>
                <w:sz w:val="20"/>
              </w:rPr>
              <w:t xml:space="preserve"> "О соглашениях о разделе продукции" (в случае переоформления лицензии на пользование участком недр местного значения по основанию, предусмотренному </w:t>
            </w:r>
            <w:hyperlink w:history="0" r:id="rId129"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подпунктом 10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В4</w:t>
            </w:r>
          </w:p>
        </w:tc>
        <w:tc>
          <w:tcPr>
            <w:tcW w:w="5386" w:type="dxa"/>
          </w:tcPr>
          <w:p>
            <w:pPr>
              <w:pStyle w:val="0"/>
              <w:jc w:val="both"/>
            </w:pPr>
            <w:r>
              <w:rPr>
                <w:sz w:val="20"/>
              </w:rPr>
              <w:t xml:space="preserve">Реквизиты специального акта, являющегося неотъемлемой частью соглашения о разделе продукции, посредством составления которого в соответствии с </w:t>
            </w:r>
            <w:hyperlink w:history="0" r:id="rId130" w:tooltip="Федеральный закон от 30.12.1995 N 225-ФЗ (ред. от 08.12.2020) &quot;О соглашениях о разделе продукции&quot; {КонсультантПлюс}">
              <w:r>
                <w:rPr>
                  <w:sz w:val="20"/>
                  <w:color w:val="0000ff"/>
                </w:rPr>
                <w:t xml:space="preserve">пунктом 2 статьи 16</w:t>
              </w:r>
            </w:hyperlink>
            <w:r>
              <w:rPr>
                <w:sz w:val="20"/>
              </w:rPr>
              <w:t xml:space="preserve"> Федерального закона "О соглашениях о разделе продукции" совершена передача прав и обязанностей по соглашению о разделе продукции (в случае переоформления лицензии на пользование участком недр местного значения по основанию, предусмотренному </w:t>
            </w:r>
            <w:hyperlink w:history="0" r:id="rId131"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подпунктом 10 пункта 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gridSpan w:val="3"/>
            <w:tcW w:w="9014" w:type="dxa"/>
          </w:tcPr>
          <w:p>
            <w:pPr>
              <w:pStyle w:val="0"/>
              <w:outlineLvl w:val="3"/>
              <w:jc w:val="center"/>
            </w:pPr>
            <w:r>
              <w:rPr>
                <w:sz w:val="20"/>
              </w:rPr>
              <w:t xml:space="preserve">Документы и информация, необходимые в соответствии с законодательными 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tc>
          <w:tcPr>
            <w:tcW w:w="1814" w:type="dxa"/>
          </w:tcPr>
          <w:p>
            <w:pPr>
              <w:pStyle w:val="0"/>
              <w:jc w:val="center"/>
            </w:pPr>
            <w:r>
              <w:rPr>
                <w:sz w:val="20"/>
              </w:rPr>
              <w:t xml:space="preserve">А1 - А4, Б1 - Б2, В1 - В2</w:t>
            </w:r>
          </w:p>
        </w:tc>
        <w:tc>
          <w:tcPr>
            <w:tcW w:w="5386" w:type="dxa"/>
          </w:tcPr>
          <w:p>
            <w:pPr>
              <w:pStyle w:val="0"/>
              <w:jc w:val="both"/>
            </w:pPr>
            <w:r>
              <w:rPr>
                <w:sz w:val="20"/>
              </w:rPr>
              <w:t xml:space="preserve">Сведения, подтверждающие оплату заявителем государственной пошлины</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 В1 - В2</w:t>
            </w:r>
          </w:p>
        </w:tc>
        <w:tc>
          <w:tcPr>
            <w:tcW w:w="5386" w:type="dxa"/>
          </w:tcPr>
          <w:p>
            <w:pPr>
              <w:pStyle w:val="0"/>
              <w:jc w:val="both"/>
            </w:pPr>
            <w:r>
              <w:rPr>
                <w:sz w:val="20"/>
              </w:rPr>
              <w:t xml:space="preserve">Выписка из Единого государственного реестра юридических лиц</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 В1 - В2</w:t>
            </w:r>
          </w:p>
        </w:tc>
        <w:tc>
          <w:tcPr>
            <w:tcW w:w="5386" w:type="dxa"/>
          </w:tcPr>
          <w:p>
            <w:pPr>
              <w:pStyle w:val="0"/>
              <w:jc w:val="both"/>
            </w:pPr>
            <w:r>
              <w:rPr>
                <w:sz w:val="20"/>
              </w:rPr>
              <w:t xml:space="preserve">Выписка из Единого государственного реестра индивидуальных предпринимателей</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Справка о наличии (об отсутствии) у заявителя задолженности по уплате налоговых платежей в бюджеты различных уровней</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Копия бухгалтерского баланса заявителя (с приложением всех обязательных форм) за последний отчетный период, предшествующий подаче заявки, с отметкой налогового органа о его принятии</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Санитарно-эпидемиологическое заключение о соответствии водного объекта санитарным правилам и условиям безопасного для здоровья населения использования водного объекта</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Решение комиссии об установлении факта открытия месторождения общераспространенных полезных ископаемых пользователем недр, проводившим работы по геологическому изучению участка недр местного значения в целях поисков и оценки месторождений общераспространенных полезных ископаемых за счет собственных средств</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Свидетельство об установлении факта открытия месторождения общераспространенных полезных ископаемых</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А1 - А4</w:t>
            </w:r>
          </w:p>
        </w:tc>
        <w:tc>
          <w:tcPr>
            <w:tcW w:w="5386" w:type="dxa"/>
          </w:tcPr>
          <w:p>
            <w:pPr>
              <w:pStyle w:val="0"/>
              <w:jc w:val="both"/>
            </w:pPr>
            <w:r>
              <w:rPr>
                <w:sz w:val="20"/>
              </w:rPr>
              <w:t xml:space="preserve">Заключение государственной экспертизы о промышленной значимости разведанных запасов общераспространенных полезных ископаемых</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В2</w:t>
            </w:r>
          </w:p>
        </w:tc>
        <w:tc>
          <w:tcPr>
            <w:tcW w:w="5386" w:type="dxa"/>
          </w:tcPr>
          <w:p>
            <w:pPr>
              <w:pStyle w:val="0"/>
              <w:jc w:val="both"/>
            </w:pPr>
            <w:r>
              <w:rPr>
                <w:sz w:val="20"/>
              </w:rPr>
              <w:t xml:space="preserve">Гражданско-правовой договор на выполнение работ по строительству, реконструкции, капитальному ремонту, ремонту и содержанию автомобильных дорог общего пользования, заключенный в соответствии с Федеральным </w:t>
            </w:r>
            <w:hyperlink w:history="0" r:id="rId13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7.2026) {КонсультантПлюс}">
              <w:r>
                <w:rPr>
                  <w:sz w:val="20"/>
                  <w:color w:val="0000ff"/>
                </w:rPr>
                <w:t xml:space="preserve">законом</w:t>
              </w:r>
            </w:hyperlink>
            <w:r>
              <w:rPr>
                <w:sz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 или Федеральным </w:t>
            </w:r>
            <w:hyperlink w:history="0" r:id="rId13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В2</w:t>
            </w:r>
          </w:p>
        </w:tc>
        <w:tc>
          <w:tcPr>
            <w:tcW w:w="5386" w:type="dxa"/>
          </w:tcPr>
          <w:p>
            <w:pPr>
              <w:pStyle w:val="0"/>
              <w:jc w:val="both"/>
            </w:pPr>
            <w:r>
              <w:rPr>
                <w:sz w:val="20"/>
              </w:rPr>
              <w:t xml:space="preserve">Гражданско-правовой договор на выполнение работ по строительству, реконструкции и капитальному ремонту объектов инфраструктуры железнодорожного транспорта общего пользования</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В2</w:t>
            </w:r>
          </w:p>
        </w:tc>
        <w:tc>
          <w:tcPr>
            <w:tcW w:w="5386" w:type="dxa"/>
          </w:tcPr>
          <w:p>
            <w:pPr>
              <w:pStyle w:val="0"/>
              <w:jc w:val="both"/>
            </w:pPr>
            <w:r>
              <w:rPr>
                <w:sz w:val="20"/>
              </w:rPr>
              <w:t xml:space="preserve">Копия определения суда об утверждении конкурсного управляющего, финансового управляющего, а также сведения о конкурсном управляющем, финансовом управляющем, утвержденных в деле о банкротстве пользователя недр по переоформляемой лицензии на пользование недрами, признанного несостоятельным (банкротом) в соответствии с законодательством Российской Федерации о несостоятельности (банкротстве)</w:t>
            </w:r>
          </w:p>
        </w:tc>
        <w:tc>
          <w:tcPr>
            <w:tcW w:w="1814" w:type="dxa"/>
          </w:tcPr>
          <w:p>
            <w:pPr>
              <w:pStyle w:val="0"/>
              <w:jc w:val="center"/>
            </w:pPr>
            <w:r>
              <w:rPr>
                <w:sz w:val="20"/>
              </w:rPr>
              <w:t xml:space="preserve">ЭД - ЛКН</w:t>
            </w:r>
          </w:p>
          <w:p>
            <w:pPr>
              <w:pStyle w:val="0"/>
              <w:jc w:val="center"/>
            </w:pPr>
            <w:r>
              <w:rPr>
                <w:sz w:val="20"/>
              </w:rPr>
              <w:t xml:space="preserve">ЭД - ОИВ</w:t>
            </w:r>
          </w:p>
        </w:tc>
      </w:tr>
      <w:tr>
        <w:tc>
          <w:tcPr>
            <w:tcW w:w="1814" w:type="dxa"/>
          </w:tcPr>
          <w:p>
            <w:pPr>
              <w:pStyle w:val="0"/>
              <w:jc w:val="center"/>
            </w:pPr>
            <w:r>
              <w:rPr>
                <w:sz w:val="20"/>
              </w:rPr>
              <w:t xml:space="preserve">В1 - В2</w:t>
            </w:r>
          </w:p>
        </w:tc>
        <w:tc>
          <w:tcPr>
            <w:tcW w:w="5386" w:type="dxa"/>
          </w:tcPr>
          <w:p>
            <w:pPr>
              <w:pStyle w:val="0"/>
              <w:jc w:val="both"/>
            </w:pPr>
            <w:r>
              <w:rPr>
                <w:sz w:val="20"/>
              </w:rPr>
              <w:t xml:space="preserve">Сведения о результатах инвентаризации имущества пользователя недр по переоформляемой лицензии на пользование недрами, признанного несостоятельным (банкротом) в соответствии с законодательством Российской Федерации о несостоятельности (банкротстве), сведения об отчете об оценке имущества пользователя недр по переоформляемой лицензии на пользование недрами, признанного несостоятельным (банкротом) в соответствии с законодательством Российской Федерации о несостоятельности (банкротстве) (в отношении пользователей недр по переоформляемой лицензии на пользование недрами - юридических лиц)</w:t>
            </w:r>
          </w:p>
        </w:tc>
        <w:tc>
          <w:tcPr>
            <w:tcW w:w="1814" w:type="dxa"/>
          </w:tcPr>
          <w:p>
            <w:pPr>
              <w:pStyle w:val="0"/>
              <w:jc w:val="center"/>
            </w:pPr>
            <w:r>
              <w:rPr>
                <w:sz w:val="20"/>
              </w:rPr>
              <w:t xml:space="preserve">ЭД - ЛКН</w:t>
            </w:r>
          </w:p>
          <w:p>
            <w:pPr>
              <w:pStyle w:val="0"/>
              <w:jc w:val="center"/>
            </w:pPr>
            <w:r>
              <w:rPr>
                <w:sz w:val="20"/>
              </w:rPr>
              <w:t xml:space="preserve">ЭД - ОИВ</w:t>
            </w:r>
          </w:p>
        </w:tc>
      </w:tr>
    </w:tbl>
    <w:p>
      <w:pPr>
        <w:pStyle w:val="0"/>
        <w:jc w:val="both"/>
      </w:pPr>
      <w:r>
        <w:rPr>
          <w:sz w:val="20"/>
        </w:rPr>
      </w:r>
    </w:p>
    <w:bookmarkStart w:id="571" w:name="P571"/>
    <w:bookmarkEnd w:id="571"/>
    <w:p>
      <w:pPr>
        <w:pStyle w:val="2"/>
        <w:outlineLvl w:val="2"/>
        <w:jc w:val="center"/>
      </w:pPr>
      <w:r>
        <w:rPr>
          <w:sz w:val="20"/>
        </w:rPr>
        <w:t xml:space="preserve">Исчерпывающий перечень оснований для отказа в приеме запроса</w:t>
      </w:r>
    </w:p>
    <w:p>
      <w:pPr>
        <w:pStyle w:val="2"/>
        <w:jc w:val="center"/>
      </w:pPr>
      <w:r>
        <w:rPr>
          <w:sz w:val="20"/>
        </w:rPr>
        <w:t xml:space="preserve">о предоставлении государственной услуги и документов,</w:t>
      </w:r>
    </w:p>
    <w:p>
      <w:pPr>
        <w:pStyle w:val="2"/>
        <w:jc w:val="center"/>
      </w:pPr>
      <w:r>
        <w:rPr>
          <w:sz w:val="20"/>
        </w:rPr>
        <w:t xml:space="preserve">необходимых для предоставления государственной услуги,</w:t>
      </w:r>
    </w:p>
    <w:p>
      <w:pPr>
        <w:pStyle w:val="2"/>
        <w:jc w:val="center"/>
      </w:pPr>
      <w:r>
        <w:rPr>
          <w:sz w:val="20"/>
        </w:rPr>
        <w:t xml:space="preserve">и исчерпывающий перечень оснований для приостановления</w:t>
      </w:r>
    </w:p>
    <w:p>
      <w:pPr>
        <w:pStyle w:val="2"/>
        <w:jc w:val="center"/>
      </w:pPr>
      <w:r>
        <w:rPr>
          <w:sz w:val="20"/>
        </w:rPr>
        <w:t xml:space="preserve">предоставления государственной услуги или для отказа</w:t>
      </w:r>
    </w:p>
    <w:p>
      <w:pPr>
        <w:pStyle w:val="2"/>
        <w:jc w:val="center"/>
      </w:pPr>
      <w:r>
        <w:rPr>
          <w:sz w:val="20"/>
        </w:rPr>
        <w:t xml:space="preserve">в предоставлении государственной услуги</w:t>
      </w:r>
    </w:p>
    <w:p>
      <w:pPr>
        <w:pStyle w:val="0"/>
        <w:jc w:val="both"/>
      </w:pPr>
      <w:r>
        <w:rPr>
          <w:sz w:val="20"/>
        </w:rPr>
      </w:r>
    </w:p>
    <w:p>
      <w:pPr>
        <w:pStyle w:val="0"/>
        <w:jc w:val="right"/>
      </w:pPr>
      <w:r>
        <w:rPr>
          <w:sz w:val="20"/>
        </w:rPr>
        <w:t xml:space="preserve">Таблица N 4</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00"/>
        <w:gridCol w:w="1814"/>
      </w:tblGrid>
      <w:tr>
        <w:tc>
          <w:tcPr>
            <w:tcW w:w="7200" w:type="dxa"/>
            <w:vAlign w:val="center"/>
          </w:tcPr>
          <w:p>
            <w:pPr>
              <w:pStyle w:val="0"/>
              <w:jc w:val="center"/>
            </w:pPr>
            <w:r>
              <w:rPr>
                <w:sz w:val="20"/>
              </w:rPr>
              <w:t xml:space="preserve">Перечень оснований</w:t>
            </w:r>
          </w:p>
        </w:tc>
        <w:tc>
          <w:tcPr>
            <w:tcW w:w="1814" w:type="dxa"/>
            <w:vAlign w:val="center"/>
          </w:tcPr>
          <w:p>
            <w:pPr>
              <w:pStyle w:val="0"/>
              <w:jc w:val="center"/>
            </w:pPr>
            <w:r>
              <w:rPr>
                <w:sz w:val="20"/>
              </w:rPr>
              <w:t xml:space="preserve">Категория заявителя, идентификатор категории (признака) заявителя</w:t>
            </w:r>
          </w:p>
        </w:tc>
      </w:tr>
      <w:tr>
        <w:tc>
          <w:tcPr>
            <w:tcW w:w="7200" w:type="dxa"/>
            <w:vAlign w:val="center"/>
          </w:tcPr>
          <w:p>
            <w:pPr>
              <w:pStyle w:val="0"/>
              <w:jc w:val="center"/>
            </w:pPr>
            <w:r>
              <w:rPr>
                <w:sz w:val="20"/>
              </w:rPr>
              <w:t xml:space="preserve">1</w:t>
            </w:r>
          </w:p>
        </w:tc>
        <w:tc>
          <w:tcPr>
            <w:tcW w:w="1814" w:type="dxa"/>
            <w:vAlign w:val="center"/>
          </w:tcPr>
          <w:p>
            <w:pPr>
              <w:pStyle w:val="0"/>
              <w:jc w:val="center"/>
            </w:pPr>
            <w:r>
              <w:rPr>
                <w:sz w:val="20"/>
              </w:rPr>
              <w:t xml:space="preserve">2</w:t>
            </w:r>
          </w:p>
        </w:tc>
      </w:tr>
      <w:tr>
        <w:tc>
          <w:tcPr>
            <w:gridSpan w:val="2"/>
            <w:tcW w:w="9014" w:type="dxa"/>
          </w:tcPr>
          <w:p>
            <w:pPr>
              <w:pStyle w:val="0"/>
              <w:outlineLvl w:val="3"/>
            </w:pPr>
            <w:r>
              <w:rPr>
                <w:sz w:val="20"/>
              </w:rPr>
              <w:t xml:space="preserve">Исчерпывающий перечень оснований для отказа в приеме заявки о предоставлении государственной услуги и документов, необходимых для предоставления государственной услуги:</w:t>
            </w:r>
          </w:p>
        </w:tc>
      </w:tr>
      <w:tr>
        <w:tc>
          <w:tcPr>
            <w:tcW w:w="7200" w:type="dxa"/>
          </w:tcPr>
          <w:p>
            <w:pPr>
              <w:pStyle w:val="0"/>
            </w:pPr>
            <w:r>
              <w:rPr>
                <w:sz w:val="20"/>
              </w:rPr>
              <w:t xml:space="preserve">заявка на получение права пользования недрами подана с нарушением требований </w:t>
            </w:r>
            <w:hyperlink w:history="0" r:id="rId134"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Порядка</w:t>
              </w:r>
            </w:hyperlink>
            <w:r>
              <w:rPr>
                <w:sz w:val="20"/>
              </w:rPr>
              <w:t xml:space="preserve"> оформления, государственной регистрации и выдачи лицензий на пользование недрами, утвержденного приказом Министерства от 15 апреля 2022 года N 155</w:t>
            </w:r>
          </w:p>
        </w:tc>
        <w:tc>
          <w:tcPr>
            <w:tcW w:w="1814" w:type="dxa"/>
          </w:tcPr>
          <w:p>
            <w:pPr>
              <w:pStyle w:val="0"/>
              <w:jc w:val="center"/>
            </w:pPr>
            <w:r>
              <w:rPr>
                <w:sz w:val="20"/>
              </w:rPr>
              <w:t xml:space="preserve">А1 - А4</w:t>
            </w:r>
          </w:p>
        </w:tc>
      </w:tr>
      <w:tr>
        <w:tc>
          <w:tcPr>
            <w:tcW w:w="7200" w:type="dxa"/>
          </w:tcPr>
          <w:p>
            <w:pPr>
              <w:pStyle w:val="0"/>
            </w:pPr>
            <w:r>
              <w:rPr>
                <w:sz w:val="20"/>
              </w:rPr>
              <w:t xml:space="preserve">заявитель представил недостоверные сведения о себе</w:t>
            </w:r>
          </w:p>
        </w:tc>
        <w:tc>
          <w:tcPr>
            <w:tcW w:w="1814" w:type="dxa"/>
          </w:tcPr>
          <w:p>
            <w:pPr>
              <w:pStyle w:val="0"/>
              <w:jc w:val="center"/>
            </w:pPr>
            <w:r>
              <w:rPr>
                <w:sz w:val="20"/>
              </w:rPr>
              <w:t xml:space="preserve">А1 - А4</w:t>
            </w:r>
          </w:p>
        </w:tc>
      </w:tr>
      <w:tr>
        <w:tc>
          <w:tcPr>
            <w:gridSpan w:val="2"/>
            <w:tcW w:w="9014" w:type="dxa"/>
          </w:tcPr>
          <w:p>
            <w:pPr>
              <w:pStyle w:val="0"/>
              <w:outlineLvl w:val="3"/>
            </w:pPr>
            <w:r>
              <w:rPr>
                <w:sz w:val="20"/>
              </w:rPr>
              <w:t xml:space="preserve">Исчерпывающий перечень оснований для отказа в предоставлении государственной услуги:</w:t>
            </w:r>
          </w:p>
        </w:tc>
      </w:tr>
      <w:tr>
        <w:tc>
          <w:tcPr>
            <w:tcW w:w="7200" w:type="dxa"/>
          </w:tcPr>
          <w:p>
            <w:pPr>
              <w:pStyle w:val="0"/>
            </w:pPr>
            <w:r>
              <w:rPr>
                <w:sz w:val="20"/>
              </w:rPr>
              <w:t xml:space="preserve">отсутствует оплата государственной пошлины</w:t>
            </w:r>
          </w:p>
        </w:tc>
        <w:tc>
          <w:tcPr>
            <w:tcW w:w="1814" w:type="dxa"/>
          </w:tcPr>
          <w:p>
            <w:pPr>
              <w:pStyle w:val="0"/>
              <w:jc w:val="center"/>
            </w:pPr>
            <w:r>
              <w:rPr>
                <w:sz w:val="20"/>
              </w:rPr>
              <w:t xml:space="preserve">А1 - А4, Б1 - Б4, В1 - В4</w:t>
            </w:r>
          </w:p>
        </w:tc>
      </w:tr>
      <w:tr>
        <w:tc>
          <w:tcPr>
            <w:tcW w:w="7200" w:type="dxa"/>
          </w:tcPr>
          <w:p>
            <w:pPr>
              <w:pStyle w:val="0"/>
            </w:pPr>
            <w:r>
              <w:rPr>
                <w:sz w:val="20"/>
              </w:rPr>
              <w:t xml:space="preserve">заявитель не представил доказательств того, что обладает или будет обладать квалифицированными специалистами, необходимыми финансовыми и техническими средствами для эффективного и безопасного осуществления пользования недрами (при обращении заявителя за предоставлением права пользования недрами)</w:t>
            </w:r>
          </w:p>
        </w:tc>
        <w:tc>
          <w:tcPr>
            <w:tcW w:w="1814" w:type="dxa"/>
          </w:tcPr>
          <w:p>
            <w:pPr>
              <w:pStyle w:val="0"/>
              <w:jc w:val="center"/>
            </w:pPr>
            <w:r>
              <w:rPr>
                <w:sz w:val="20"/>
              </w:rPr>
              <w:t xml:space="preserve">А1 - А4</w:t>
            </w:r>
          </w:p>
        </w:tc>
      </w:tr>
      <w:tr>
        <w:tc>
          <w:tcPr>
            <w:tcW w:w="7200" w:type="dxa"/>
          </w:tcPr>
          <w:p>
            <w:pPr>
              <w:pStyle w:val="0"/>
            </w:pPr>
            <w:r>
              <w:rPr>
                <w:sz w:val="20"/>
              </w:rPr>
              <w:t xml:space="preserve">при предоставлении заявителю права пользования недрами не будут соблюдены антимонопольные требования (при обращении заявителя за предоставлением права пользования недрами)</w:t>
            </w:r>
          </w:p>
        </w:tc>
        <w:tc>
          <w:tcPr>
            <w:tcW w:w="1814" w:type="dxa"/>
          </w:tcPr>
          <w:p>
            <w:pPr>
              <w:pStyle w:val="0"/>
              <w:jc w:val="center"/>
            </w:pPr>
            <w:r>
              <w:rPr>
                <w:sz w:val="20"/>
              </w:rPr>
              <w:t xml:space="preserve">А1 - А4</w:t>
            </w:r>
          </w:p>
        </w:tc>
      </w:tr>
      <w:tr>
        <w:tc>
          <w:tcPr>
            <w:tcW w:w="7200" w:type="dxa"/>
          </w:tcPr>
          <w:p>
            <w:pPr>
              <w:pStyle w:val="0"/>
            </w:pPr>
            <w:r>
              <w:rPr>
                <w:sz w:val="20"/>
              </w:rPr>
              <w:t xml:space="preserve">сведения о заявителе содержатся в реестре недобросовестных участников аукционов на право пользования участками недр (при обращении заявителя за предоставлением права пользования недрами)</w:t>
            </w:r>
          </w:p>
        </w:tc>
        <w:tc>
          <w:tcPr>
            <w:tcW w:w="1814" w:type="dxa"/>
          </w:tcPr>
          <w:p>
            <w:pPr>
              <w:pStyle w:val="0"/>
              <w:jc w:val="center"/>
            </w:pPr>
            <w:r>
              <w:rPr>
                <w:sz w:val="20"/>
              </w:rPr>
              <w:t xml:space="preserve">А1 - А4</w:t>
            </w:r>
          </w:p>
        </w:tc>
      </w:tr>
      <w:tr>
        <w:tc>
          <w:tcPr>
            <w:tcW w:w="7200" w:type="dxa"/>
          </w:tcPr>
          <w:p>
            <w:pPr>
              <w:pStyle w:val="0"/>
            </w:pPr>
            <w:r>
              <w:rPr>
                <w:sz w:val="20"/>
              </w:rPr>
              <w:t xml:space="preserve">заявка подана с нарушением срока, установленного </w:t>
            </w:r>
            <w:hyperlink w:history="0" r:id="rId135" w:tooltip="Федеральный закон от 01.04.2022 N 75-ФЗ &quot;О соглашениях, заключаемых при осуществлении геологического изучения, разведки и добычи углеводородного сырья, и о внесении изменения в Закон Российской Федерации &quot;О недрах&quot; {КонсультантПлюс}">
              <w:r>
                <w:rPr>
                  <w:sz w:val="20"/>
                  <w:color w:val="0000ff"/>
                </w:rPr>
                <w:t xml:space="preserve">частью четвертой статьи 10</w:t>
              </w:r>
            </w:hyperlink>
            <w:r>
              <w:rPr>
                <w:sz w:val="20"/>
              </w:rPr>
              <w:t xml:space="preserve"> Закона Российской Федерации "О недрах" (при обращении заявителя за внесением изменения в лицензию)</w:t>
            </w:r>
          </w:p>
        </w:tc>
        <w:tc>
          <w:tcPr>
            <w:tcW w:w="1814" w:type="dxa"/>
          </w:tcPr>
          <w:p>
            <w:pPr>
              <w:pStyle w:val="0"/>
              <w:jc w:val="center"/>
            </w:pPr>
            <w:r>
              <w:rPr>
                <w:sz w:val="20"/>
              </w:rPr>
              <w:t xml:space="preserve">Б1 - Б4</w:t>
            </w:r>
          </w:p>
        </w:tc>
      </w:tr>
      <w:tr>
        <w:tc>
          <w:tcPr>
            <w:tcW w:w="7200" w:type="dxa"/>
          </w:tcPr>
          <w:p>
            <w:pPr>
              <w:pStyle w:val="0"/>
            </w:pPr>
            <w:r>
              <w:rPr>
                <w:sz w:val="20"/>
              </w:rPr>
              <w:t xml:space="preserve">заявка и документы на внесение изменения в лицензию поданы с нарушением требований </w:t>
            </w:r>
            <w:hyperlink w:history="0" r:id="rId136"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Порядка</w:t>
              </w:r>
            </w:hyperlink>
            <w:r>
              <w:rPr>
                <w:sz w:val="20"/>
              </w:rPr>
              <w:t xml:space="preserve"> внесения изменений в лицензии на пользование недрами в отношении участков недр местного значения, утвержденного приказом Министерства от 15 апреля 2022 года N 155 (при обращении заявителя за внесением изменения в лицензию)</w:t>
            </w:r>
          </w:p>
        </w:tc>
        <w:tc>
          <w:tcPr>
            <w:tcW w:w="1814" w:type="dxa"/>
          </w:tcPr>
          <w:p>
            <w:pPr>
              <w:pStyle w:val="0"/>
              <w:jc w:val="center"/>
            </w:pPr>
            <w:r>
              <w:rPr>
                <w:sz w:val="20"/>
              </w:rPr>
              <w:t xml:space="preserve">Б1 - Б4</w:t>
            </w:r>
          </w:p>
        </w:tc>
      </w:tr>
      <w:tr>
        <w:tc>
          <w:tcPr>
            <w:tcW w:w="7200" w:type="dxa"/>
          </w:tcPr>
          <w:p>
            <w:pPr>
              <w:pStyle w:val="0"/>
            </w:pPr>
            <w:r>
              <w:rPr>
                <w:sz w:val="20"/>
              </w:rPr>
              <w:t xml:space="preserve">переход права пользования недрами не отвечает условиям и требованиям, установленным </w:t>
            </w:r>
            <w:hyperlink w:history="0" r:id="rId137" w:tooltip="Закон РФ от 21.02.1992 N 2395-1 (ред. от 08.03.2026) &quot;О недрах&quot; (с изм. и доп., вступ. в силу с 01.07.2026) {КонсультантПлюс}">
              <w:r>
                <w:rPr>
                  <w:sz w:val="20"/>
                  <w:color w:val="0000ff"/>
                </w:rPr>
                <w:t xml:space="preserve">частями первой</w:t>
              </w:r>
            </w:hyperlink>
            <w:r>
              <w:rPr>
                <w:sz w:val="20"/>
              </w:rPr>
              <w:t xml:space="preserve">, </w:t>
            </w:r>
            <w:hyperlink w:history="0" r:id="rId138" w:tooltip="Закон РФ от 21.02.1992 N 2395-1 (ред. от 08.03.2026) &quot;О недрах&quot; (с изм. и доп., вступ. в силу с 01.07.2026) {КонсультантПлюс}">
              <w:r>
                <w:rPr>
                  <w:sz w:val="20"/>
                  <w:color w:val="0000ff"/>
                </w:rPr>
                <w:t xml:space="preserve">третьей</w:t>
              </w:r>
            </w:hyperlink>
            <w:r>
              <w:rPr>
                <w:sz w:val="20"/>
              </w:rPr>
              <w:t xml:space="preserve"> - </w:t>
            </w:r>
            <w:hyperlink w:history="0" r:id="rId139" w:tooltip="Закон РФ от 21.02.1992 N 2395-1 (ред. от 08.03.2026) &quot;О недрах&quot; (с изм. и доп., вступ. в силу с 01.07.2026) {КонсультантПлюс}">
              <w:r>
                <w:rPr>
                  <w:sz w:val="20"/>
                  <w:color w:val="0000ff"/>
                </w:rPr>
                <w:t xml:space="preserve">шестой статьи 17.1</w:t>
              </w:r>
            </w:hyperlink>
            <w:r>
              <w:rPr>
                <w:sz w:val="20"/>
              </w:rPr>
              <w:t xml:space="preserve"> Закона Российской Федерации "О недрах" (при обращении заявителя за переоформлением лицензии)</w:t>
            </w:r>
          </w:p>
        </w:tc>
        <w:tc>
          <w:tcPr>
            <w:tcW w:w="1814" w:type="dxa"/>
          </w:tcPr>
          <w:p>
            <w:pPr>
              <w:pStyle w:val="0"/>
              <w:jc w:val="center"/>
            </w:pPr>
            <w:r>
              <w:rPr>
                <w:sz w:val="20"/>
              </w:rPr>
              <w:t xml:space="preserve">В1 - В4</w:t>
            </w:r>
          </w:p>
        </w:tc>
      </w:tr>
      <w:tr>
        <w:tc>
          <w:tcPr>
            <w:tcW w:w="7200" w:type="dxa"/>
          </w:tcPr>
          <w:p>
            <w:pPr>
              <w:pStyle w:val="0"/>
            </w:pPr>
            <w:r>
              <w:rPr>
                <w:sz w:val="20"/>
              </w:rPr>
              <w:t xml:space="preserve">наличие у пользователя недр действующего письменного уведомления о допущенных нарушениях, предусмотренного </w:t>
            </w:r>
            <w:hyperlink w:history="0" r:id="rId140" w:tooltip="Закон РФ от 21.02.1992 N 2395-1 (ред. от 08.03.2026) &quot;О недрах&quot; (с изм. и доп., вступ. в силу с 01.07.2026) {КонсультантПлюс}">
              <w:r>
                <w:rPr>
                  <w:sz w:val="20"/>
                  <w:color w:val="0000ff"/>
                </w:rPr>
                <w:t xml:space="preserve">частью четвертой статьи 21</w:t>
              </w:r>
            </w:hyperlink>
            <w:r>
              <w:rPr>
                <w:sz w:val="20"/>
              </w:rPr>
              <w:t xml:space="preserve"> Закона Российской Федерации "О недрах" (при обращении заявителя за переоформлением лицензии)</w:t>
            </w:r>
          </w:p>
        </w:tc>
        <w:tc>
          <w:tcPr>
            <w:tcW w:w="1814" w:type="dxa"/>
          </w:tcPr>
          <w:p>
            <w:pPr>
              <w:pStyle w:val="0"/>
              <w:jc w:val="center"/>
            </w:pPr>
            <w:r>
              <w:rPr>
                <w:sz w:val="20"/>
              </w:rPr>
              <w:t xml:space="preserve">В1 - В4</w:t>
            </w:r>
          </w:p>
        </w:tc>
      </w:tr>
      <w:tr>
        <w:tc>
          <w:tcPr>
            <w:tcW w:w="7200" w:type="dxa"/>
          </w:tcPr>
          <w:p>
            <w:pPr>
              <w:pStyle w:val="0"/>
            </w:pPr>
            <w:r>
              <w:rPr>
                <w:sz w:val="20"/>
              </w:rPr>
              <w:t xml:space="preserve">принятие решения о ликвидации юридического лица - пользователя недр со дня опубликования ликвидационной комиссией сообщения о ликвидации юридического лица - пользователя недр (при обращении заявителя за переоформлением лицензии)</w:t>
            </w:r>
          </w:p>
        </w:tc>
        <w:tc>
          <w:tcPr>
            <w:tcW w:w="1814" w:type="dxa"/>
          </w:tcPr>
          <w:p>
            <w:pPr>
              <w:pStyle w:val="0"/>
              <w:jc w:val="center"/>
            </w:pPr>
            <w:r>
              <w:rPr>
                <w:sz w:val="20"/>
              </w:rPr>
              <w:t xml:space="preserve">В1 - В4</w:t>
            </w:r>
          </w:p>
        </w:tc>
      </w:tr>
      <w:tr>
        <w:tc>
          <w:tcPr>
            <w:tcW w:w="7200" w:type="dxa"/>
          </w:tcPr>
          <w:p>
            <w:pPr>
              <w:pStyle w:val="0"/>
            </w:pPr>
            <w:r>
              <w:rPr>
                <w:sz w:val="20"/>
              </w:rPr>
              <w:t xml:space="preserve">признание пользователя недр несостоятельным (банкротом) в соответствии с Федеральным </w:t>
            </w:r>
            <w:hyperlink w:history="0" r:id="rId141" w:tooltip="Федеральный закон от 26.10.2002 N 127-ФЗ (ред. от 10.06.2026) &quot;О несостоятельности (банкротстве)&quot; {КонсультантПлюс}">
              <w:r>
                <w:rPr>
                  <w:sz w:val="20"/>
                  <w:color w:val="0000ff"/>
                </w:rPr>
                <w:t xml:space="preserve">законом</w:t>
              </w:r>
            </w:hyperlink>
            <w:r>
              <w:rPr>
                <w:sz w:val="20"/>
              </w:rPr>
              <w:t xml:space="preserve"> от 26 октября 2002 года N 127-ФЗ "О несостоятельности (банкротстве)" (при обращении заявителя за переоформлением лицензии)</w:t>
            </w:r>
          </w:p>
        </w:tc>
        <w:tc>
          <w:tcPr>
            <w:tcW w:w="1814" w:type="dxa"/>
          </w:tcPr>
          <w:p>
            <w:pPr>
              <w:pStyle w:val="0"/>
              <w:jc w:val="center"/>
            </w:pPr>
            <w:r>
              <w:rPr>
                <w:sz w:val="20"/>
              </w:rPr>
              <w:t xml:space="preserve">В1 - В4</w:t>
            </w:r>
          </w:p>
        </w:tc>
      </w:tr>
      <w:tr>
        <w:tc>
          <w:tcPr>
            <w:tcW w:w="7200" w:type="dxa"/>
          </w:tcPr>
          <w:p>
            <w:pPr>
              <w:pStyle w:val="0"/>
            </w:pPr>
            <w:r>
              <w:rPr>
                <w:sz w:val="20"/>
              </w:rPr>
              <w:t xml:space="preserve">приостановление осуществления права пользования недрами в соответствии со </w:t>
            </w:r>
            <w:hyperlink w:history="0" r:id="rId142" w:tooltip="Закон РФ от 21.02.1992 N 2395-1 (ред. от 08.03.2026) &quot;О недрах&quot; (с изм. и доп., вступ. в силу с 01.07.2026) {КонсультантПлюс}">
              <w:r>
                <w:rPr>
                  <w:sz w:val="20"/>
                  <w:color w:val="0000ff"/>
                </w:rPr>
                <w:t xml:space="preserve">статьей 20.1</w:t>
              </w:r>
            </w:hyperlink>
            <w:r>
              <w:rPr>
                <w:sz w:val="20"/>
              </w:rPr>
              <w:t xml:space="preserve"> Закона Российской Федерации "О недрах" (при обращении заявителя за переоформлением лицензии)</w:t>
            </w:r>
          </w:p>
        </w:tc>
        <w:tc>
          <w:tcPr>
            <w:tcW w:w="1814" w:type="dxa"/>
          </w:tcPr>
          <w:p>
            <w:pPr>
              <w:pStyle w:val="0"/>
              <w:jc w:val="center"/>
            </w:pPr>
            <w:r>
              <w:rPr>
                <w:sz w:val="20"/>
              </w:rPr>
              <w:t xml:space="preserve">В1 - В4</w:t>
            </w:r>
          </w:p>
        </w:tc>
      </w:tr>
      <w:tr>
        <w:tc>
          <w:tcPr>
            <w:tcW w:w="7200" w:type="dxa"/>
          </w:tcPr>
          <w:p>
            <w:pPr>
              <w:pStyle w:val="0"/>
            </w:pPr>
            <w:r>
              <w:rPr>
                <w:sz w:val="20"/>
              </w:rPr>
              <w:t xml:space="preserve">передача права пользования участком недр, предоставленным субъекту предпринимательской деятельности на основании соглашения о разделе продукции, не соответствует Федеральному </w:t>
            </w:r>
            <w:hyperlink w:history="0" r:id="rId143" w:tooltip="Федеральный закон от 30.12.1995 N 225-ФЗ (ред. от 08.12.2020) &quot;О соглашениях о разделе продукции&quot; {КонсультантПлюс}">
              <w:r>
                <w:rPr>
                  <w:sz w:val="20"/>
                  <w:color w:val="0000ff"/>
                </w:rPr>
                <w:t xml:space="preserve">закону</w:t>
              </w:r>
            </w:hyperlink>
            <w:r>
              <w:rPr>
                <w:sz w:val="20"/>
              </w:rPr>
              <w:t xml:space="preserve"> от 30 декабря 1995 года N 225-ФЗ "О соглашениях о разделе продукции" (при обращении заявителя за переоформлением лицензии)</w:t>
            </w:r>
          </w:p>
        </w:tc>
        <w:tc>
          <w:tcPr>
            <w:tcW w:w="1814" w:type="dxa"/>
          </w:tcPr>
          <w:p>
            <w:pPr>
              <w:pStyle w:val="0"/>
              <w:jc w:val="center"/>
            </w:pPr>
            <w:r>
              <w:rPr>
                <w:sz w:val="20"/>
              </w:rPr>
              <w:t xml:space="preserve">В1 - В4</w:t>
            </w:r>
          </w:p>
        </w:tc>
      </w:tr>
      <w:tr>
        <w:tc>
          <w:tcPr>
            <w:tcW w:w="7200" w:type="dxa"/>
          </w:tcPr>
          <w:p>
            <w:pPr>
              <w:pStyle w:val="0"/>
            </w:pPr>
            <w:r>
              <w:rPr>
                <w:sz w:val="20"/>
              </w:rPr>
              <w:t xml:space="preserve">заявка подана с нарушением срока, установленного частью пятнадцатой </w:t>
            </w:r>
            <w:hyperlink w:history="0" r:id="rId144" w:tooltip="Закон РФ от 21.02.1992 N 2395-1 (ред. от 08.03.2026) &quot;О недрах&quot; (с изм. и доп., вступ. в силу с 01.07.2026) {КонсультантПлюс}">
              <w:r>
                <w:rPr>
                  <w:sz w:val="20"/>
                  <w:color w:val="0000ff"/>
                </w:rPr>
                <w:t xml:space="preserve">статьи 12.1</w:t>
              </w:r>
            </w:hyperlink>
            <w:r>
              <w:rPr>
                <w:sz w:val="20"/>
              </w:rPr>
              <w:t xml:space="preserve"> Закона Российской Федерации "О недрах" (при обращении заявителя за переоформлением лицензии)</w:t>
            </w:r>
          </w:p>
        </w:tc>
        <w:tc>
          <w:tcPr>
            <w:tcW w:w="1814" w:type="dxa"/>
          </w:tcPr>
          <w:p>
            <w:pPr>
              <w:pStyle w:val="0"/>
              <w:jc w:val="center"/>
            </w:pPr>
            <w:r>
              <w:rPr>
                <w:sz w:val="20"/>
              </w:rPr>
              <w:t xml:space="preserve">В1 - В4</w:t>
            </w:r>
          </w:p>
        </w:tc>
      </w:tr>
      <w:tr>
        <w:tc>
          <w:tcPr>
            <w:tcW w:w="7200" w:type="dxa"/>
          </w:tcPr>
          <w:p>
            <w:pPr>
              <w:pStyle w:val="0"/>
            </w:pPr>
            <w:r>
              <w:rPr>
                <w:sz w:val="20"/>
              </w:rPr>
              <w:t xml:space="preserve">заявка и документы на переоформление лицензии поданы с нарушением требований </w:t>
            </w:r>
            <w:hyperlink w:history="0" r:id="rId145"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Порядка</w:t>
              </w:r>
            </w:hyperlink>
            <w:r>
              <w:rPr>
                <w:sz w:val="20"/>
              </w:rPr>
              <w:t xml:space="preserve">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 (при обращении заявителя за переоформлением лицензии)</w:t>
            </w:r>
          </w:p>
        </w:tc>
        <w:tc>
          <w:tcPr>
            <w:tcW w:w="1814" w:type="dxa"/>
          </w:tcPr>
          <w:p>
            <w:pPr>
              <w:pStyle w:val="0"/>
              <w:jc w:val="center"/>
            </w:pPr>
            <w:r>
              <w:rPr>
                <w:sz w:val="20"/>
              </w:rPr>
              <w:t xml:space="preserve">В1 - В4</w:t>
            </w:r>
          </w:p>
        </w:tc>
      </w:tr>
      <w:tr>
        <w:tc>
          <w:tcPr>
            <w:tcW w:w="7200" w:type="dxa"/>
          </w:tcPr>
          <w:p>
            <w:pPr>
              <w:pStyle w:val="0"/>
            </w:pPr>
            <w:r>
              <w:rPr>
                <w:sz w:val="20"/>
              </w:rPr>
              <w:t xml:space="preserve">некомплектность документов и сведений, предусмотренных </w:t>
            </w:r>
            <w:hyperlink w:history="0" r:id="rId146"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пунктами 4</w:t>
              </w:r>
            </w:hyperlink>
            <w:r>
              <w:rPr>
                <w:sz w:val="20"/>
              </w:rPr>
              <w:t xml:space="preserve"> - </w:t>
            </w:r>
            <w:hyperlink w:history="0" r:id="rId147"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9</w:t>
              </w:r>
            </w:hyperlink>
            <w:r>
              <w:rPr>
                <w:sz w:val="20"/>
              </w:rPr>
              <w:t xml:space="preserve">, </w:t>
            </w:r>
            <w:hyperlink w:history="0" r:id="rId148"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11</w:t>
              </w:r>
            </w:hyperlink>
            <w:r>
              <w:rPr>
                <w:sz w:val="20"/>
              </w:rPr>
              <w:t xml:space="preserve"> Порядка переоформления лицензий на пользование недрами в отношении участков недр местного значения, утвержденного приказом Министерства от 15 апреля 2022 года N 155 (при обращении заявителя за переоформлением лицензии)</w:t>
            </w:r>
          </w:p>
        </w:tc>
        <w:tc>
          <w:tcPr>
            <w:tcW w:w="1814" w:type="dxa"/>
          </w:tcPr>
          <w:p>
            <w:pPr>
              <w:pStyle w:val="0"/>
              <w:jc w:val="center"/>
            </w:pPr>
            <w:r>
              <w:rPr>
                <w:sz w:val="20"/>
              </w:rPr>
              <w:t xml:space="preserve">В1 - В4</w:t>
            </w:r>
          </w:p>
        </w:tc>
      </w:tr>
    </w:tbl>
    <w:p>
      <w:pPr>
        <w:pStyle w:val="0"/>
        <w:jc w:val="both"/>
      </w:pPr>
      <w:r>
        <w:rPr>
          <w:sz w:val="20"/>
        </w:rPr>
      </w:r>
    </w:p>
    <w:bookmarkStart w:id="621" w:name="P621"/>
    <w:bookmarkEnd w:id="621"/>
    <w:p>
      <w:pPr>
        <w:pStyle w:val="2"/>
        <w:outlineLvl w:val="2"/>
        <w:jc w:val="center"/>
      </w:pPr>
      <w:r>
        <w:rPr>
          <w:sz w:val="20"/>
        </w:rPr>
        <w:t xml:space="preserve">5. Формы запросов, необходимых для предоставления</w:t>
      </w:r>
    </w:p>
    <w:p>
      <w:pPr>
        <w:pStyle w:val="2"/>
        <w:jc w:val="center"/>
      </w:pPr>
      <w:r>
        <w:rPr>
          <w:sz w:val="20"/>
        </w:rPr>
        <w:t xml:space="preserve">государственной услуги</w:t>
      </w:r>
    </w:p>
    <w:p>
      <w:pPr>
        <w:pStyle w:val="0"/>
        <w:jc w:val="both"/>
      </w:pPr>
      <w:r>
        <w:rPr>
          <w:sz w:val="20"/>
        </w:rPr>
      </w:r>
    </w:p>
    <w:p>
      <w:pPr>
        <w:pStyle w:val="0"/>
        <w:outlineLvl w:val="3"/>
        <w:jc w:val="center"/>
      </w:pPr>
      <w:r>
        <w:rPr>
          <w:sz w:val="20"/>
        </w:rPr>
        <w:t xml:space="preserve">Форма к вариантам А1, А3 - А4</w:t>
      </w:r>
    </w:p>
    <w:p>
      <w:pPr>
        <w:pStyle w:val="0"/>
        <w:jc w:val="both"/>
      </w:pPr>
      <w:r>
        <w:rPr>
          <w:sz w:val="20"/>
        </w:rPr>
      </w:r>
    </w:p>
    <w:p>
      <w:pPr>
        <w:pStyle w:val="1"/>
        <w:jc w:val="both"/>
      </w:pPr>
      <w:r>
        <w:rPr>
          <w:sz w:val="20"/>
        </w:rPr>
        <w:t xml:space="preserve">                               В министерство природных ресурсов и экологии</w:t>
      </w:r>
    </w:p>
    <w:p>
      <w:pPr>
        <w:pStyle w:val="1"/>
        <w:jc w:val="both"/>
      </w:pPr>
      <w:r>
        <w:rPr>
          <w:sz w:val="20"/>
        </w:rPr>
        <w:t xml:space="preserve">                                                        Саратовской области</w:t>
      </w:r>
    </w:p>
    <w:p>
      <w:pPr>
        <w:pStyle w:val="1"/>
        <w:jc w:val="both"/>
      </w:pPr>
      <w:r>
        <w:rPr>
          <w:sz w:val="20"/>
        </w:rPr>
        <w:t xml:space="preserve">Исх. N "__" от _________ 20__ года</w:t>
      </w:r>
    </w:p>
    <w:p>
      <w:pPr>
        <w:pStyle w:val="1"/>
        <w:jc w:val="both"/>
      </w:pPr>
      <w:r>
        <w:rPr>
          <w:sz w:val="20"/>
        </w:rPr>
      </w:r>
    </w:p>
    <w:p>
      <w:pPr>
        <w:pStyle w:val="1"/>
        <w:jc w:val="both"/>
      </w:pPr>
      <w:r>
        <w:rPr>
          <w:sz w:val="20"/>
        </w:rPr>
        <w:t xml:space="preserve">                                  ЗАЯВКА</w:t>
      </w:r>
    </w:p>
    <w:p>
      <w:pPr>
        <w:pStyle w:val="1"/>
        <w:jc w:val="both"/>
      </w:pPr>
      <w:r>
        <w:rPr>
          <w:sz w:val="20"/>
        </w:rPr>
        <w:t xml:space="preserve">      на получение права пользования участком недр местного значения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945"/>
        <w:gridCol w:w="1945"/>
        <w:gridCol w:w="1945"/>
        <w:gridCol w:w="793"/>
        <w:gridCol w:w="793"/>
        <w:gridCol w:w="793"/>
      </w:tblGrid>
      <w:tr>
        <w:tc>
          <w:tcPr>
            <w:tcW w:w="850" w:type="dxa"/>
          </w:tcPr>
          <w:p>
            <w:pPr>
              <w:pStyle w:val="0"/>
              <w:jc w:val="center"/>
            </w:pPr>
            <w:r>
              <w:rPr>
                <w:sz w:val="20"/>
              </w:rPr>
              <w:t xml:space="preserve">1</w:t>
            </w:r>
          </w:p>
        </w:tc>
        <w:tc>
          <w:tcPr>
            <w:gridSpan w:val="6"/>
            <w:tcW w:w="8214" w:type="dxa"/>
          </w:tcPr>
          <w:p>
            <w:pPr>
              <w:pStyle w:val="0"/>
            </w:pPr>
            <w:r>
              <w:rPr>
                <w:sz w:val="20"/>
              </w:rPr>
              <w:t xml:space="preserve">Данные о заявителе (индивидуальном предпринимателе):</w:t>
            </w:r>
          </w:p>
        </w:tc>
      </w:tr>
      <w:tr>
        <w:tc>
          <w:tcPr>
            <w:tcW w:w="850" w:type="dxa"/>
          </w:tcPr>
          <w:p>
            <w:pPr>
              <w:pStyle w:val="0"/>
              <w:jc w:val="center"/>
            </w:pPr>
            <w:r>
              <w:rPr>
                <w:sz w:val="20"/>
              </w:rPr>
              <w:t xml:space="preserve">1.1.</w:t>
            </w:r>
          </w:p>
        </w:tc>
        <w:tc>
          <w:tcPr>
            <w:gridSpan w:val="3"/>
            <w:tcW w:w="5835" w:type="dxa"/>
          </w:tcPr>
          <w:p>
            <w:pPr>
              <w:pStyle w:val="0"/>
            </w:pPr>
            <w:r>
              <w:rPr>
                <w:sz w:val="20"/>
              </w:rPr>
              <w:t xml:space="preserve">Фамилия, имя, отчество (при наличии)</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1.2.</w:t>
            </w:r>
          </w:p>
        </w:tc>
        <w:tc>
          <w:tcPr>
            <w:gridSpan w:val="3"/>
            <w:tcW w:w="5835" w:type="dxa"/>
          </w:tcPr>
          <w:p>
            <w:pPr>
              <w:pStyle w:val="0"/>
            </w:pPr>
            <w:r>
              <w:rPr>
                <w:sz w:val="20"/>
              </w:rPr>
              <w:t xml:space="preserve">ОГРНИП</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1.3.</w:t>
            </w:r>
          </w:p>
        </w:tc>
        <w:tc>
          <w:tcPr>
            <w:gridSpan w:val="3"/>
            <w:tcW w:w="5835" w:type="dxa"/>
          </w:tcPr>
          <w:p>
            <w:pPr>
              <w:pStyle w:val="0"/>
            </w:pPr>
            <w:r>
              <w:rPr>
                <w:sz w:val="20"/>
              </w:rPr>
              <w:t xml:space="preserve">ИНН</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1.4.</w:t>
            </w:r>
          </w:p>
        </w:tc>
        <w:tc>
          <w:tcPr>
            <w:gridSpan w:val="3"/>
            <w:tcW w:w="5835" w:type="dxa"/>
          </w:tcPr>
          <w:p>
            <w:pPr>
              <w:pStyle w:val="0"/>
            </w:pPr>
            <w:r>
              <w:rPr>
                <w:sz w:val="20"/>
              </w:rPr>
              <w:t xml:space="preserve">Данные документа, удостоверяющего личность</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1.5.</w:t>
            </w:r>
          </w:p>
        </w:tc>
        <w:tc>
          <w:tcPr>
            <w:gridSpan w:val="3"/>
            <w:tcW w:w="5835" w:type="dxa"/>
          </w:tcPr>
          <w:p>
            <w:pPr>
              <w:pStyle w:val="0"/>
            </w:pPr>
            <w:r>
              <w:rPr>
                <w:sz w:val="20"/>
              </w:rPr>
              <w:t xml:space="preserve">Место жительства</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1.6.</w:t>
            </w:r>
          </w:p>
        </w:tc>
        <w:tc>
          <w:tcPr>
            <w:gridSpan w:val="3"/>
            <w:tcW w:w="5835" w:type="dxa"/>
          </w:tcPr>
          <w:p>
            <w:pPr>
              <w:pStyle w:val="0"/>
            </w:pPr>
            <w:r>
              <w:rPr>
                <w:sz w:val="20"/>
              </w:rPr>
              <w:t xml:space="preserve">Почтовый адрес</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1.7.</w:t>
            </w:r>
          </w:p>
        </w:tc>
        <w:tc>
          <w:tcPr>
            <w:gridSpan w:val="3"/>
            <w:tcW w:w="5835" w:type="dxa"/>
          </w:tcPr>
          <w:p>
            <w:pPr>
              <w:pStyle w:val="0"/>
            </w:pPr>
            <w:r>
              <w:rPr>
                <w:sz w:val="20"/>
              </w:rPr>
              <w:t xml:space="preserve">Адрес электронной почты</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1.8.</w:t>
            </w:r>
          </w:p>
        </w:tc>
        <w:tc>
          <w:tcPr>
            <w:gridSpan w:val="3"/>
            <w:tcW w:w="5835" w:type="dxa"/>
          </w:tcPr>
          <w:p>
            <w:pPr>
              <w:pStyle w:val="0"/>
            </w:pPr>
            <w:r>
              <w:rPr>
                <w:sz w:val="20"/>
              </w:rPr>
              <w:t xml:space="preserve">Номер контактного телефона</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2</w:t>
            </w:r>
          </w:p>
        </w:tc>
        <w:tc>
          <w:tcPr>
            <w:gridSpan w:val="3"/>
            <w:tcW w:w="5835" w:type="dxa"/>
          </w:tcPr>
          <w:p>
            <w:pPr>
              <w:pStyle w:val="0"/>
            </w:pPr>
            <w:r>
              <w:rPr>
                <w:sz w:val="20"/>
              </w:rPr>
              <w:t xml:space="preserve">Расположение участка недр местного значения</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r>
      <w:tr>
        <w:tc>
          <w:tcPr>
            <w:gridSpan w:val="7"/>
            <w:tcW w:w="9064" w:type="dxa"/>
          </w:tcPr>
          <w:p>
            <w:pPr>
              <w:pStyle w:val="0"/>
              <w:jc w:val="center"/>
            </w:pPr>
            <w:r>
              <w:rPr>
                <w:sz w:val="20"/>
              </w:rPr>
              <w:t xml:space="preserve">Географические координаты (ГСК-2011)</w:t>
            </w:r>
          </w:p>
        </w:tc>
      </w:tr>
      <w:tr>
        <w:tc>
          <w:tcPr>
            <w:tcW w:w="850" w:type="dxa"/>
            <w:vMerge w:val="restart"/>
          </w:tcPr>
          <w:p>
            <w:pPr>
              <w:pStyle w:val="0"/>
              <w:jc w:val="center"/>
            </w:pPr>
            <w:r>
              <w:rPr>
                <w:sz w:val="20"/>
              </w:rPr>
              <w:t xml:space="preserve">N координаты</w:t>
            </w:r>
          </w:p>
        </w:tc>
        <w:tc>
          <w:tcPr>
            <w:gridSpan w:val="3"/>
            <w:tcW w:w="5835" w:type="dxa"/>
          </w:tcPr>
          <w:p>
            <w:pPr>
              <w:pStyle w:val="0"/>
              <w:jc w:val="center"/>
            </w:pPr>
            <w:r>
              <w:rPr>
                <w:sz w:val="20"/>
              </w:rPr>
              <w:t xml:space="preserve">Северная широта</w:t>
            </w:r>
          </w:p>
        </w:tc>
        <w:tc>
          <w:tcPr>
            <w:gridSpan w:val="3"/>
            <w:tcW w:w="2379" w:type="dxa"/>
          </w:tcPr>
          <w:p>
            <w:pPr>
              <w:pStyle w:val="0"/>
              <w:jc w:val="center"/>
            </w:pPr>
            <w:r>
              <w:rPr>
                <w:sz w:val="20"/>
              </w:rPr>
              <w:t xml:space="preserve">Восточная долгота</w:t>
            </w:r>
          </w:p>
        </w:tc>
      </w:tr>
      <w:tr>
        <w:tc>
          <w:tcPr>
            <w:vMerge w:val="continue"/>
          </w:tcPr>
          <w:p/>
        </w:tc>
        <w:tc>
          <w:tcPr>
            <w:tcW w:w="1945" w:type="dxa"/>
          </w:tcPr>
          <w:p>
            <w:pPr>
              <w:pStyle w:val="0"/>
              <w:jc w:val="center"/>
            </w:pPr>
            <w:r>
              <w:rPr>
                <w:sz w:val="20"/>
              </w:rPr>
              <w:t xml:space="preserve">град</w:t>
            </w:r>
          </w:p>
        </w:tc>
        <w:tc>
          <w:tcPr>
            <w:tcW w:w="1945" w:type="dxa"/>
          </w:tcPr>
          <w:p>
            <w:pPr>
              <w:pStyle w:val="0"/>
              <w:jc w:val="center"/>
            </w:pPr>
            <w:r>
              <w:rPr>
                <w:sz w:val="20"/>
              </w:rPr>
              <w:t xml:space="preserve">мин</w:t>
            </w:r>
          </w:p>
        </w:tc>
        <w:tc>
          <w:tcPr>
            <w:tcW w:w="1945" w:type="dxa"/>
          </w:tcPr>
          <w:p>
            <w:pPr>
              <w:pStyle w:val="0"/>
              <w:jc w:val="center"/>
            </w:pPr>
            <w:r>
              <w:rPr>
                <w:sz w:val="20"/>
              </w:rPr>
              <w:t xml:space="preserve">сек</w:t>
            </w:r>
          </w:p>
        </w:tc>
        <w:tc>
          <w:tcPr>
            <w:tcW w:w="793" w:type="dxa"/>
          </w:tcPr>
          <w:p>
            <w:pPr>
              <w:pStyle w:val="0"/>
              <w:jc w:val="center"/>
            </w:pPr>
            <w:r>
              <w:rPr>
                <w:sz w:val="20"/>
              </w:rPr>
              <w:t xml:space="preserve">град</w:t>
            </w:r>
          </w:p>
        </w:tc>
        <w:tc>
          <w:tcPr>
            <w:tcW w:w="793" w:type="dxa"/>
          </w:tcPr>
          <w:p>
            <w:pPr>
              <w:pStyle w:val="0"/>
              <w:jc w:val="center"/>
            </w:pPr>
            <w:r>
              <w:rPr>
                <w:sz w:val="20"/>
              </w:rPr>
              <w:t xml:space="preserve">мин</w:t>
            </w:r>
          </w:p>
        </w:tc>
        <w:tc>
          <w:tcPr>
            <w:tcW w:w="793" w:type="dxa"/>
          </w:tcPr>
          <w:p>
            <w:pPr>
              <w:pStyle w:val="0"/>
              <w:jc w:val="center"/>
            </w:pPr>
            <w:r>
              <w:rPr>
                <w:sz w:val="20"/>
              </w:rPr>
              <w:t xml:space="preserve">сек</w:t>
            </w:r>
          </w:p>
        </w:tc>
      </w:tr>
      <w:tr>
        <w:tc>
          <w:tcPr>
            <w:tcW w:w="850" w:type="dxa"/>
          </w:tcPr>
          <w:p>
            <w:pPr>
              <w:pStyle w:val="0"/>
              <w:jc w:val="center"/>
            </w:pPr>
            <w:r>
              <w:rPr>
                <w:sz w:val="20"/>
              </w:rPr>
              <w:t xml:space="preserve">1</w:t>
            </w:r>
          </w:p>
        </w:tc>
        <w:tc>
          <w:tcPr>
            <w:gridSpan w:val="3"/>
            <w:tcW w:w="5835"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w:t>
            </w:r>
          </w:p>
        </w:tc>
        <w:tc>
          <w:tcPr>
            <w:gridSpan w:val="3"/>
            <w:tcW w:w="5835"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3</w:t>
            </w:r>
          </w:p>
        </w:tc>
        <w:tc>
          <w:tcPr>
            <w:gridSpan w:val="3"/>
            <w:tcW w:w="5835" w:type="dxa"/>
          </w:tcPr>
          <w:p>
            <w:pPr>
              <w:pStyle w:val="0"/>
            </w:pPr>
            <w:r>
              <w:rPr>
                <w:sz w:val="20"/>
              </w:rPr>
              <w:t xml:space="preserve">Вид пользования недрами:</w:t>
            </w:r>
          </w:p>
        </w:tc>
        <w:tc>
          <w:tcPr>
            <w:gridSpan w:val="3"/>
            <w:tcW w:w="2379" w:type="dxa"/>
          </w:tcPr>
          <w:p>
            <w:pPr>
              <w:pStyle w:val="0"/>
            </w:pPr>
            <w:r>
              <w:rPr>
                <w:sz w:val="20"/>
              </w:rPr>
            </w:r>
          </w:p>
        </w:tc>
      </w:tr>
      <w:tr>
        <w:tc>
          <w:tcPr>
            <w:tcW w:w="850" w:type="dxa"/>
          </w:tcPr>
          <w:p>
            <w:pPr>
              <w:pStyle w:val="0"/>
              <w:jc w:val="center"/>
            </w:pPr>
            <w:r>
              <w:rPr>
                <w:sz w:val="20"/>
              </w:rPr>
              <w:t xml:space="preserve">4</w:t>
            </w:r>
          </w:p>
        </w:tc>
        <w:tc>
          <w:tcPr>
            <w:gridSpan w:val="3"/>
            <w:tcW w:w="5835" w:type="dxa"/>
          </w:tcPr>
          <w:p>
            <w:pPr>
              <w:pStyle w:val="0"/>
            </w:pPr>
            <w:r>
              <w:rPr>
                <w:sz w:val="20"/>
              </w:rPr>
              <w:t xml:space="preserve">Количество водозаборных сооружений, расположенных в границах участка недр местного значения (указывается для получения права пользования участком недр местного значения для добычи подземных вод)</w:t>
            </w:r>
          </w:p>
        </w:tc>
        <w:tc>
          <w:tcPr>
            <w:gridSpan w:val="3"/>
            <w:tcW w:w="2379" w:type="dxa"/>
          </w:tcPr>
          <w:p>
            <w:pPr>
              <w:pStyle w:val="0"/>
            </w:pPr>
            <w:r>
              <w:rPr>
                <w:sz w:val="20"/>
              </w:rPr>
            </w:r>
          </w:p>
        </w:tc>
      </w:tr>
      <w:tr>
        <w:tc>
          <w:tcPr>
            <w:tcW w:w="850" w:type="dxa"/>
          </w:tcPr>
          <w:p>
            <w:pPr>
              <w:pStyle w:val="0"/>
              <w:jc w:val="center"/>
            </w:pPr>
            <w:r>
              <w:rPr>
                <w:sz w:val="20"/>
              </w:rPr>
              <w:t xml:space="preserve">5</w:t>
            </w:r>
          </w:p>
        </w:tc>
        <w:tc>
          <w:tcPr>
            <w:gridSpan w:val="3"/>
            <w:tcW w:w="5835" w:type="dxa"/>
          </w:tcPr>
          <w:p>
            <w:pPr>
              <w:pStyle w:val="0"/>
            </w:pPr>
            <w:r>
              <w:rPr>
                <w:sz w:val="20"/>
              </w:rPr>
              <w:t xml:space="preserve">Величина заявленного водопотребления (указывается для получения права пользования участком недр местного значения для добычи подземных вод)</w:t>
            </w:r>
          </w:p>
        </w:tc>
        <w:tc>
          <w:tcPr>
            <w:gridSpan w:val="3"/>
            <w:tcW w:w="2379" w:type="dxa"/>
          </w:tcPr>
          <w:p>
            <w:pPr>
              <w:pStyle w:val="0"/>
            </w:pPr>
            <w:r>
              <w:rPr>
                <w:sz w:val="20"/>
              </w:rPr>
            </w:r>
          </w:p>
        </w:tc>
      </w:tr>
      <w:tr>
        <w:tc>
          <w:tcPr>
            <w:tcW w:w="850" w:type="dxa"/>
          </w:tcPr>
          <w:p>
            <w:pPr>
              <w:pStyle w:val="0"/>
              <w:jc w:val="center"/>
            </w:pPr>
            <w:r>
              <w:rPr>
                <w:sz w:val="20"/>
              </w:rPr>
              <w:t xml:space="preserve">6</w:t>
            </w:r>
          </w:p>
        </w:tc>
        <w:tc>
          <w:tcPr>
            <w:gridSpan w:val="3"/>
            <w:tcW w:w="5835" w:type="dxa"/>
          </w:tcPr>
          <w:p>
            <w:pPr>
              <w:pStyle w:val="0"/>
            </w:pPr>
            <w:r>
              <w:rPr>
                <w:sz w:val="20"/>
              </w:rPr>
              <w:t xml:space="preserve">Реквизиты (номер, дата выдачи)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(указывается для получения права пользования участком недр местного значения для добычи подземных вод для целей питьевого водоснабжения)</w:t>
            </w:r>
          </w:p>
        </w:tc>
        <w:tc>
          <w:tcPr>
            <w:gridSpan w:val="3"/>
            <w:tcW w:w="2379" w:type="dxa"/>
          </w:tcPr>
          <w:p>
            <w:pPr>
              <w:pStyle w:val="0"/>
            </w:pPr>
            <w:r>
              <w:rPr>
                <w:sz w:val="20"/>
              </w:rPr>
            </w:r>
          </w:p>
        </w:tc>
      </w:tr>
      <w:tr>
        <w:tc>
          <w:tcPr>
            <w:tcW w:w="850" w:type="dxa"/>
          </w:tcPr>
          <w:p>
            <w:pPr>
              <w:pStyle w:val="0"/>
              <w:jc w:val="center"/>
            </w:pPr>
            <w:r>
              <w:rPr>
                <w:sz w:val="20"/>
              </w:rPr>
              <w:t xml:space="preserve">7</w:t>
            </w:r>
          </w:p>
        </w:tc>
        <w:tc>
          <w:tcPr>
            <w:gridSpan w:val="3"/>
            <w:tcW w:w="5835" w:type="dxa"/>
          </w:tcPr>
          <w:p>
            <w:pPr>
              <w:pStyle w:val="0"/>
            </w:pPr>
            <w:r>
              <w:rPr>
                <w:sz w:val="20"/>
              </w:rPr>
              <w:t xml:space="preserve">Реквизиты документа, подтверждающего оплату государственной пошлины</w:t>
            </w:r>
          </w:p>
        </w:tc>
        <w:tc>
          <w:tcPr>
            <w:gridSpan w:val="3"/>
            <w:tcW w:w="2379" w:type="dxa"/>
          </w:tcPr>
          <w:p>
            <w:pPr>
              <w:pStyle w:val="0"/>
            </w:pPr>
            <w:r>
              <w:rPr>
                <w:sz w:val="20"/>
              </w:rPr>
            </w:r>
          </w:p>
        </w:tc>
      </w:tr>
    </w:tbl>
    <w:p>
      <w:pPr>
        <w:pStyle w:val="0"/>
        <w:jc w:val="both"/>
      </w:pPr>
      <w:r>
        <w:rPr>
          <w:sz w:val="20"/>
        </w:rPr>
      </w:r>
    </w:p>
    <w:p>
      <w:pPr>
        <w:pStyle w:val="0"/>
        <w:ind w:firstLine="540"/>
        <w:jc w:val="both"/>
      </w:pPr>
      <w:r>
        <w:rPr>
          <w:sz w:val="20"/>
        </w:rPr>
        <w:t xml:space="preserve">Результат предоставления государственной услуги в виде уведомления об отказе в приеме заявки или об отказе в предоставлении государственной услуги прошу выдать (выбрать):</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8561"/>
      </w:tblGrid>
      <w:tr>
        <w:tc>
          <w:tcPr>
            <w:tcW w:w="454" w:type="dxa"/>
          </w:tcPr>
          <w:p>
            <w:pPr>
              <w:pStyle w:val="0"/>
            </w:pPr>
            <w:r>
              <w:rPr>
                <w:sz w:val="20"/>
              </w:rPr>
            </w:r>
          </w:p>
        </w:tc>
        <w:tc>
          <w:tcPr>
            <w:tcW w:w="8561" w:type="dxa"/>
          </w:tcPr>
          <w:p>
            <w:pPr>
              <w:pStyle w:val="0"/>
            </w:pPr>
            <w:r>
              <w:rPr>
                <w:sz w:val="20"/>
              </w:rPr>
              <w:t xml:space="preserve">направить на электронную почту: __________________________________</w:t>
            </w:r>
          </w:p>
        </w:tc>
      </w:tr>
      <w:tr>
        <w:tc>
          <w:tcPr>
            <w:tcW w:w="454" w:type="dxa"/>
          </w:tcPr>
          <w:p>
            <w:pPr>
              <w:pStyle w:val="0"/>
            </w:pPr>
            <w:r>
              <w:rPr>
                <w:sz w:val="20"/>
              </w:rPr>
            </w:r>
          </w:p>
        </w:tc>
        <w:tc>
          <w:tcPr>
            <w:tcW w:w="8561" w:type="dxa"/>
          </w:tcPr>
          <w:p>
            <w:pPr>
              <w:pStyle w:val="0"/>
            </w:pPr>
            <w:r>
              <w:rPr>
                <w:sz w:val="20"/>
              </w:rPr>
              <w:t xml:space="preserve">выдать непосредственно в министерстве природных ресурсов и экологии Саратовской области</w:t>
            </w:r>
          </w:p>
        </w:tc>
      </w:tr>
    </w:tbl>
    <w:p>
      <w:pPr>
        <w:pStyle w:val="0"/>
        <w:jc w:val="both"/>
      </w:pPr>
      <w:r>
        <w:rPr>
          <w:sz w:val="20"/>
        </w:rPr>
      </w:r>
    </w:p>
    <w:p>
      <w:pPr>
        <w:pStyle w:val="1"/>
        <w:jc w:val="both"/>
      </w:pPr>
      <w:r>
        <w:rPr>
          <w:sz w:val="20"/>
        </w:rPr>
        <w:t xml:space="preserve">_______________________________________________</w:t>
      </w:r>
    </w:p>
    <w:p>
      <w:pPr>
        <w:pStyle w:val="1"/>
        <w:jc w:val="both"/>
      </w:pPr>
      <w:r>
        <w:rPr>
          <w:sz w:val="20"/>
        </w:rPr>
        <w:t xml:space="preserve">    Заявитель (И.О. Фамилия/подпись, печать)</w:t>
      </w:r>
    </w:p>
    <w:p>
      <w:pPr>
        <w:pStyle w:val="0"/>
        <w:jc w:val="both"/>
      </w:pPr>
      <w:r>
        <w:rPr>
          <w:sz w:val="20"/>
        </w:rPr>
      </w:r>
    </w:p>
    <w:p>
      <w:pPr>
        <w:pStyle w:val="0"/>
        <w:jc w:val="both"/>
      </w:pPr>
      <w:r>
        <w:rPr>
          <w:sz w:val="20"/>
        </w:rPr>
      </w:r>
    </w:p>
    <w:p>
      <w:pPr>
        <w:pStyle w:val="0"/>
        <w:jc w:val="both"/>
      </w:pPr>
      <w:r>
        <w:rPr>
          <w:sz w:val="20"/>
        </w:rPr>
      </w:r>
    </w:p>
    <w:p>
      <w:pPr>
        <w:pStyle w:val="0"/>
        <w:outlineLvl w:val="3"/>
        <w:jc w:val="center"/>
      </w:pPr>
      <w:r>
        <w:rPr>
          <w:sz w:val="20"/>
        </w:rPr>
        <w:t xml:space="preserve">Форма к вариантам А2, А3 - А4</w:t>
      </w:r>
    </w:p>
    <w:p>
      <w:pPr>
        <w:pStyle w:val="0"/>
        <w:jc w:val="both"/>
      </w:pPr>
      <w:r>
        <w:rPr>
          <w:sz w:val="20"/>
        </w:rPr>
      </w:r>
    </w:p>
    <w:p>
      <w:pPr>
        <w:pStyle w:val="1"/>
        <w:jc w:val="both"/>
      </w:pPr>
      <w:r>
        <w:rPr>
          <w:sz w:val="20"/>
        </w:rPr>
        <w:t xml:space="preserve">                               В министерство природных ресурсов и экологии</w:t>
      </w:r>
    </w:p>
    <w:p>
      <w:pPr>
        <w:pStyle w:val="1"/>
        <w:jc w:val="both"/>
      </w:pPr>
      <w:r>
        <w:rPr>
          <w:sz w:val="20"/>
        </w:rPr>
        <w:t xml:space="preserve">                                                        Саратовской области</w:t>
      </w:r>
    </w:p>
    <w:p>
      <w:pPr>
        <w:pStyle w:val="1"/>
        <w:jc w:val="both"/>
      </w:pPr>
      <w:r>
        <w:rPr>
          <w:sz w:val="20"/>
        </w:rPr>
        <w:t xml:space="preserve">Исх. N "__" от _________ 20__ года</w:t>
      </w:r>
    </w:p>
    <w:p>
      <w:pPr>
        <w:pStyle w:val="1"/>
        <w:jc w:val="both"/>
      </w:pPr>
      <w:r>
        <w:rPr>
          <w:sz w:val="20"/>
        </w:rPr>
      </w:r>
    </w:p>
    <w:p>
      <w:pPr>
        <w:pStyle w:val="1"/>
        <w:jc w:val="both"/>
      </w:pPr>
      <w:r>
        <w:rPr>
          <w:sz w:val="20"/>
        </w:rPr>
        <w:t xml:space="preserve">                                  ЗАЯВКА</w:t>
      </w:r>
    </w:p>
    <w:p>
      <w:pPr>
        <w:pStyle w:val="1"/>
        <w:jc w:val="both"/>
      </w:pPr>
      <w:r>
        <w:rPr>
          <w:sz w:val="20"/>
        </w:rPr>
        <w:t xml:space="preserve">      на получение права пользования участком недр местного значения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944"/>
        <w:gridCol w:w="1944"/>
        <w:gridCol w:w="1945"/>
        <w:gridCol w:w="792"/>
        <w:gridCol w:w="792"/>
        <w:gridCol w:w="793"/>
      </w:tblGrid>
      <w:tr>
        <w:tc>
          <w:tcPr>
            <w:tcW w:w="850" w:type="dxa"/>
          </w:tcPr>
          <w:p>
            <w:pPr>
              <w:pStyle w:val="0"/>
              <w:jc w:val="center"/>
            </w:pPr>
            <w:r>
              <w:rPr>
                <w:sz w:val="20"/>
              </w:rPr>
              <w:t xml:space="preserve">1</w:t>
            </w:r>
          </w:p>
        </w:tc>
        <w:tc>
          <w:tcPr>
            <w:gridSpan w:val="6"/>
            <w:tcW w:w="8210" w:type="dxa"/>
          </w:tcPr>
          <w:p>
            <w:pPr>
              <w:pStyle w:val="0"/>
            </w:pPr>
            <w:r>
              <w:rPr>
                <w:sz w:val="20"/>
              </w:rPr>
              <w:t xml:space="preserve">Данные о заявителе (юридическом лице):</w:t>
            </w:r>
          </w:p>
        </w:tc>
      </w:tr>
      <w:tr>
        <w:tc>
          <w:tcPr>
            <w:tcW w:w="850" w:type="dxa"/>
          </w:tcPr>
          <w:p>
            <w:pPr>
              <w:pStyle w:val="0"/>
              <w:jc w:val="center"/>
            </w:pPr>
            <w:r>
              <w:rPr>
                <w:sz w:val="20"/>
              </w:rPr>
              <w:t xml:space="preserve">1.1.</w:t>
            </w:r>
          </w:p>
        </w:tc>
        <w:tc>
          <w:tcPr>
            <w:gridSpan w:val="3"/>
            <w:tcW w:w="5833" w:type="dxa"/>
          </w:tcPr>
          <w:p>
            <w:pPr>
              <w:pStyle w:val="0"/>
            </w:pPr>
            <w:r>
              <w:rPr>
                <w:sz w:val="20"/>
              </w:rPr>
              <w:t xml:space="preserve">Организационно-правовая форма:</w:t>
            </w:r>
          </w:p>
        </w:tc>
        <w:tc>
          <w:tcPr>
            <w:tcW w:w="792" w:type="dxa"/>
          </w:tcPr>
          <w:p>
            <w:pPr>
              <w:pStyle w:val="0"/>
            </w:pPr>
            <w:r>
              <w:rPr>
                <w:sz w:val="20"/>
              </w:rPr>
            </w:r>
          </w:p>
        </w:tc>
        <w:tc>
          <w:tcPr>
            <w:tcW w:w="792"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1.2.</w:t>
            </w:r>
          </w:p>
        </w:tc>
        <w:tc>
          <w:tcPr>
            <w:gridSpan w:val="3"/>
            <w:tcW w:w="5833" w:type="dxa"/>
          </w:tcPr>
          <w:p>
            <w:pPr>
              <w:pStyle w:val="0"/>
            </w:pPr>
            <w:r>
              <w:rPr>
                <w:sz w:val="20"/>
              </w:rPr>
              <w:t xml:space="preserve">Полное наименование заявителя</w:t>
            </w:r>
          </w:p>
        </w:tc>
        <w:tc>
          <w:tcPr>
            <w:tcW w:w="792" w:type="dxa"/>
          </w:tcPr>
          <w:p>
            <w:pPr>
              <w:pStyle w:val="0"/>
            </w:pPr>
            <w:r>
              <w:rPr>
                <w:sz w:val="20"/>
              </w:rPr>
            </w:r>
          </w:p>
        </w:tc>
        <w:tc>
          <w:tcPr>
            <w:tcW w:w="792"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1.3.</w:t>
            </w:r>
          </w:p>
        </w:tc>
        <w:tc>
          <w:tcPr>
            <w:gridSpan w:val="3"/>
            <w:tcW w:w="5833" w:type="dxa"/>
          </w:tcPr>
          <w:p>
            <w:pPr>
              <w:pStyle w:val="0"/>
            </w:pPr>
            <w:r>
              <w:rPr>
                <w:sz w:val="20"/>
              </w:rPr>
              <w:t xml:space="preserve">Сокращенное наименование заявителя</w:t>
            </w:r>
          </w:p>
        </w:tc>
        <w:tc>
          <w:tcPr>
            <w:tcW w:w="792" w:type="dxa"/>
          </w:tcPr>
          <w:p>
            <w:pPr>
              <w:pStyle w:val="0"/>
            </w:pPr>
            <w:r>
              <w:rPr>
                <w:sz w:val="20"/>
              </w:rPr>
            </w:r>
          </w:p>
        </w:tc>
        <w:tc>
          <w:tcPr>
            <w:tcW w:w="792"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1.4.</w:t>
            </w:r>
          </w:p>
        </w:tc>
        <w:tc>
          <w:tcPr>
            <w:gridSpan w:val="3"/>
            <w:tcW w:w="5833" w:type="dxa"/>
          </w:tcPr>
          <w:p>
            <w:pPr>
              <w:pStyle w:val="0"/>
            </w:pPr>
            <w:r>
              <w:rPr>
                <w:sz w:val="20"/>
              </w:rPr>
              <w:t xml:space="preserve">ОГРН</w:t>
            </w:r>
          </w:p>
        </w:tc>
        <w:tc>
          <w:tcPr>
            <w:tcW w:w="792" w:type="dxa"/>
          </w:tcPr>
          <w:p>
            <w:pPr>
              <w:pStyle w:val="0"/>
            </w:pPr>
            <w:r>
              <w:rPr>
                <w:sz w:val="20"/>
              </w:rPr>
            </w:r>
          </w:p>
        </w:tc>
        <w:tc>
          <w:tcPr>
            <w:tcW w:w="792"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1.5.</w:t>
            </w:r>
          </w:p>
        </w:tc>
        <w:tc>
          <w:tcPr>
            <w:gridSpan w:val="3"/>
            <w:tcW w:w="5833" w:type="dxa"/>
          </w:tcPr>
          <w:p>
            <w:pPr>
              <w:pStyle w:val="0"/>
            </w:pPr>
            <w:r>
              <w:rPr>
                <w:sz w:val="20"/>
              </w:rPr>
              <w:t xml:space="preserve">ИНН</w:t>
            </w:r>
          </w:p>
        </w:tc>
        <w:tc>
          <w:tcPr>
            <w:tcW w:w="792" w:type="dxa"/>
          </w:tcPr>
          <w:p>
            <w:pPr>
              <w:pStyle w:val="0"/>
            </w:pPr>
            <w:r>
              <w:rPr>
                <w:sz w:val="20"/>
              </w:rPr>
            </w:r>
          </w:p>
        </w:tc>
        <w:tc>
          <w:tcPr>
            <w:tcW w:w="792"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1.6.</w:t>
            </w:r>
          </w:p>
        </w:tc>
        <w:tc>
          <w:tcPr>
            <w:gridSpan w:val="3"/>
            <w:tcW w:w="5833" w:type="dxa"/>
          </w:tcPr>
          <w:p>
            <w:pPr>
              <w:pStyle w:val="0"/>
            </w:pPr>
            <w:r>
              <w:rPr>
                <w:sz w:val="20"/>
              </w:rPr>
              <w:t xml:space="preserve">Юридический адрес</w:t>
            </w:r>
          </w:p>
        </w:tc>
        <w:tc>
          <w:tcPr>
            <w:tcW w:w="792" w:type="dxa"/>
          </w:tcPr>
          <w:p>
            <w:pPr>
              <w:pStyle w:val="0"/>
            </w:pPr>
            <w:r>
              <w:rPr>
                <w:sz w:val="20"/>
              </w:rPr>
            </w:r>
          </w:p>
        </w:tc>
        <w:tc>
          <w:tcPr>
            <w:tcW w:w="792"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1.7.</w:t>
            </w:r>
          </w:p>
        </w:tc>
        <w:tc>
          <w:tcPr>
            <w:gridSpan w:val="3"/>
            <w:tcW w:w="5833" w:type="dxa"/>
          </w:tcPr>
          <w:p>
            <w:pPr>
              <w:pStyle w:val="0"/>
            </w:pPr>
            <w:r>
              <w:rPr>
                <w:sz w:val="20"/>
              </w:rPr>
              <w:t xml:space="preserve">Почтовый адрес:</w:t>
            </w:r>
          </w:p>
        </w:tc>
        <w:tc>
          <w:tcPr>
            <w:tcW w:w="792" w:type="dxa"/>
          </w:tcPr>
          <w:p>
            <w:pPr>
              <w:pStyle w:val="0"/>
            </w:pPr>
            <w:r>
              <w:rPr>
                <w:sz w:val="20"/>
              </w:rPr>
            </w:r>
          </w:p>
        </w:tc>
        <w:tc>
          <w:tcPr>
            <w:tcW w:w="792"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1.8.</w:t>
            </w:r>
          </w:p>
        </w:tc>
        <w:tc>
          <w:tcPr>
            <w:gridSpan w:val="3"/>
            <w:tcW w:w="5833" w:type="dxa"/>
          </w:tcPr>
          <w:p>
            <w:pPr>
              <w:pStyle w:val="0"/>
            </w:pPr>
            <w:r>
              <w:rPr>
                <w:sz w:val="20"/>
              </w:rPr>
              <w:t xml:space="preserve">Адрес электронной почты</w:t>
            </w:r>
          </w:p>
        </w:tc>
        <w:tc>
          <w:tcPr>
            <w:tcW w:w="792" w:type="dxa"/>
          </w:tcPr>
          <w:p>
            <w:pPr>
              <w:pStyle w:val="0"/>
            </w:pPr>
            <w:r>
              <w:rPr>
                <w:sz w:val="20"/>
              </w:rPr>
            </w:r>
          </w:p>
        </w:tc>
        <w:tc>
          <w:tcPr>
            <w:tcW w:w="792"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1.9.</w:t>
            </w:r>
          </w:p>
        </w:tc>
        <w:tc>
          <w:tcPr>
            <w:gridSpan w:val="3"/>
            <w:tcW w:w="5833" w:type="dxa"/>
          </w:tcPr>
          <w:p>
            <w:pPr>
              <w:pStyle w:val="0"/>
            </w:pPr>
            <w:r>
              <w:rPr>
                <w:sz w:val="20"/>
              </w:rPr>
              <w:t xml:space="preserve">Номер контактного телефона</w:t>
            </w:r>
          </w:p>
        </w:tc>
        <w:tc>
          <w:tcPr>
            <w:tcW w:w="792" w:type="dxa"/>
          </w:tcPr>
          <w:p>
            <w:pPr>
              <w:pStyle w:val="0"/>
            </w:pPr>
            <w:r>
              <w:rPr>
                <w:sz w:val="20"/>
              </w:rPr>
            </w:r>
          </w:p>
        </w:tc>
        <w:tc>
          <w:tcPr>
            <w:tcW w:w="792"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2</w:t>
            </w:r>
          </w:p>
        </w:tc>
        <w:tc>
          <w:tcPr>
            <w:gridSpan w:val="3"/>
            <w:tcW w:w="5833" w:type="dxa"/>
          </w:tcPr>
          <w:p>
            <w:pPr>
              <w:pStyle w:val="0"/>
            </w:pPr>
            <w:r>
              <w:rPr>
                <w:sz w:val="20"/>
              </w:rPr>
              <w:t xml:space="preserve">Расположение участка недр местного значения</w:t>
            </w:r>
          </w:p>
        </w:tc>
        <w:tc>
          <w:tcPr>
            <w:tcW w:w="792" w:type="dxa"/>
          </w:tcPr>
          <w:p>
            <w:pPr>
              <w:pStyle w:val="0"/>
            </w:pPr>
            <w:r>
              <w:rPr>
                <w:sz w:val="20"/>
              </w:rPr>
            </w:r>
          </w:p>
        </w:tc>
        <w:tc>
          <w:tcPr>
            <w:tcW w:w="792" w:type="dxa"/>
          </w:tcPr>
          <w:p>
            <w:pPr>
              <w:pStyle w:val="0"/>
            </w:pPr>
            <w:r>
              <w:rPr>
                <w:sz w:val="20"/>
              </w:rPr>
            </w:r>
          </w:p>
        </w:tc>
        <w:tc>
          <w:tcPr>
            <w:tcW w:w="793" w:type="dxa"/>
          </w:tcPr>
          <w:p>
            <w:pPr>
              <w:pStyle w:val="0"/>
            </w:pPr>
            <w:r>
              <w:rPr>
                <w:sz w:val="20"/>
              </w:rPr>
            </w:r>
          </w:p>
        </w:tc>
      </w:tr>
      <w:tr>
        <w:tc>
          <w:tcPr>
            <w:gridSpan w:val="7"/>
            <w:tcW w:w="9060" w:type="dxa"/>
          </w:tcPr>
          <w:p>
            <w:pPr>
              <w:pStyle w:val="0"/>
              <w:jc w:val="center"/>
            </w:pPr>
            <w:r>
              <w:rPr>
                <w:sz w:val="20"/>
              </w:rPr>
              <w:t xml:space="preserve">Географические координаты (ГСК-2011)</w:t>
            </w:r>
          </w:p>
        </w:tc>
      </w:tr>
      <w:tr>
        <w:tc>
          <w:tcPr>
            <w:tcW w:w="850" w:type="dxa"/>
            <w:vMerge w:val="restart"/>
          </w:tcPr>
          <w:p>
            <w:pPr>
              <w:pStyle w:val="0"/>
              <w:jc w:val="center"/>
            </w:pPr>
            <w:r>
              <w:rPr>
                <w:sz w:val="20"/>
              </w:rPr>
              <w:t xml:space="preserve">N координаты</w:t>
            </w:r>
          </w:p>
        </w:tc>
        <w:tc>
          <w:tcPr>
            <w:gridSpan w:val="3"/>
            <w:tcW w:w="5833" w:type="dxa"/>
          </w:tcPr>
          <w:p>
            <w:pPr>
              <w:pStyle w:val="0"/>
              <w:jc w:val="center"/>
            </w:pPr>
            <w:r>
              <w:rPr>
                <w:sz w:val="20"/>
              </w:rPr>
              <w:t xml:space="preserve">Северная широта</w:t>
            </w:r>
          </w:p>
        </w:tc>
        <w:tc>
          <w:tcPr>
            <w:gridSpan w:val="3"/>
            <w:tcW w:w="2377" w:type="dxa"/>
          </w:tcPr>
          <w:p>
            <w:pPr>
              <w:pStyle w:val="0"/>
              <w:jc w:val="center"/>
            </w:pPr>
            <w:r>
              <w:rPr>
                <w:sz w:val="20"/>
              </w:rPr>
              <w:t xml:space="preserve">Восточная долгота</w:t>
            </w:r>
          </w:p>
        </w:tc>
      </w:tr>
      <w:tr>
        <w:tc>
          <w:tcPr>
            <w:vMerge w:val="continue"/>
          </w:tcPr>
          <w:p/>
        </w:tc>
        <w:tc>
          <w:tcPr>
            <w:tcW w:w="1944" w:type="dxa"/>
          </w:tcPr>
          <w:p>
            <w:pPr>
              <w:pStyle w:val="0"/>
              <w:jc w:val="center"/>
            </w:pPr>
            <w:r>
              <w:rPr>
                <w:sz w:val="20"/>
              </w:rPr>
              <w:t xml:space="preserve">град</w:t>
            </w:r>
          </w:p>
        </w:tc>
        <w:tc>
          <w:tcPr>
            <w:tcW w:w="1944" w:type="dxa"/>
          </w:tcPr>
          <w:p>
            <w:pPr>
              <w:pStyle w:val="0"/>
              <w:jc w:val="center"/>
            </w:pPr>
            <w:r>
              <w:rPr>
                <w:sz w:val="20"/>
              </w:rPr>
              <w:t xml:space="preserve">мин</w:t>
            </w:r>
          </w:p>
        </w:tc>
        <w:tc>
          <w:tcPr>
            <w:tcW w:w="1945" w:type="dxa"/>
          </w:tcPr>
          <w:p>
            <w:pPr>
              <w:pStyle w:val="0"/>
              <w:jc w:val="center"/>
            </w:pPr>
            <w:r>
              <w:rPr>
                <w:sz w:val="20"/>
              </w:rPr>
              <w:t xml:space="preserve">сек</w:t>
            </w:r>
          </w:p>
        </w:tc>
        <w:tc>
          <w:tcPr>
            <w:tcW w:w="792" w:type="dxa"/>
          </w:tcPr>
          <w:p>
            <w:pPr>
              <w:pStyle w:val="0"/>
              <w:jc w:val="center"/>
            </w:pPr>
            <w:r>
              <w:rPr>
                <w:sz w:val="20"/>
              </w:rPr>
              <w:t xml:space="preserve">град</w:t>
            </w:r>
          </w:p>
        </w:tc>
        <w:tc>
          <w:tcPr>
            <w:tcW w:w="792" w:type="dxa"/>
          </w:tcPr>
          <w:p>
            <w:pPr>
              <w:pStyle w:val="0"/>
              <w:jc w:val="center"/>
            </w:pPr>
            <w:r>
              <w:rPr>
                <w:sz w:val="20"/>
              </w:rPr>
              <w:t xml:space="preserve">мин</w:t>
            </w:r>
          </w:p>
        </w:tc>
        <w:tc>
          <w:tcPr>
            <w:tcW w:w="793" w:type="dxa"/>
          </w:tcPr>
          <w:p>
            <w:pPr>
              <w:pStyle w:val="0"/>
              <w:jc w:val="center"/>
            </w:pPr>
            <w:r>
              <w:rPr>
                <w:sz w:val="20"/>
              </w:rPr>
              <w:t xml:space="preserve">сек</w:t>
            </w:r>
          </w:p>
        </w:tc>
      </w:tr>
      <w:tr>
        <w:tc>
          <w:tcPr>
            <w:tcW w:w="850" w:type="dxa"/>
          </w:tcPr>
          <w:p>
            <w:pPr>
              <w:pStyle w:val="0"/>
              <w:jc w:val="center"/>
            </w:pPr>
            <w:r>
              <w:rPr>
                <w:sz w:val="20"/>
              </w:rPr>
              <w:t xml:space="preserve">1</w:t>
            </w:r>
          </w:p>
        </w:tc>
        <w:tc>
          <w:tcPr>
            <w:tcW w:w="1944" w:type="dxa"/>
          </w:tcPr>
          <w:p>
            <w:pPr>
              <w:pStyle w:val="0"/>
            </w:pPr>
            <w:r>
              <w:rPr>
                <w:sz w:val="20"/>
              </w:rPr>
            </w:r>
          </w:p>
        </w:tc>
        <w:tc>
          <w:tcPr>
            <w:tcW w:w="1944" w:type="dxa"/>
          </w:tcPr>
          <w:p>
            <w:pPr>
              <w:pStyle w:val="0"/>
            </w:pPr>
            <w:r>
              <w:rPr>
                <w:sz w:val="20"/>
              </w:rPr>
            </w:r>
          </w:p>
        </w:tc>
        <w:tc>
          <w:tcPr>
            <w:tcW w:w="1945" w:type="dxa"/>
          </w:tcPr>
          <w:p>
            <w:pPr>
              <w:pStyle w:val="0"/>
            </w:pPr>
            <w:r>
              <w:rPr>
                <w:sz w:val="20"/>
              </w:rPr>
            </w:r>
          </w:p>
        </w:tc>
        <w:tc>
          <w:tcPr>
            <w:tcW w:w="792" w:type="dxa"/>
          </w:tcPr>
          <w:p>
            <w:pPr>
              <w:pStyle w:val="0"/>
            </w:pPr>
            <w:r>
              <w:rPr>
                <w:sz w:val="20"/>
              </w:rPr>
            </w:r>
          </w:p>
        </w:tc>
        <w:tc>
          <w:tcPr>
            <w:tcW w:w="792"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w:t>
            </w:r>
          </w:p>
        </w:tc>
        <w:tc>
          <w:tcPr>
            <w:tcW w:w="1944" w:type="dxa"/>
          </w:tcPr>
          <w:p>
            <w:pPr>
              <w:pStyle w:val="0"/>
            </w:pPr>
            <w:r>
              <w:rPr>
                <w:sz w:val="20"/>
              </w:rPr>
            </w:r>
          </w:p>
        </w:tc>
        <w:tc>
          <w:tcPr>
            <w:tcW w:w="1944" w:type="dxa"/>
          </w:tcPr>
          <w:p>
            <w:pPr>
              <w:pStyle w:val="0"/>
            </w:pPr>
            <w:r>
              <w:rPr>
                <w:sz w:val="20"/>
              </w:rPr>
            </w:r>
          </w:p>
        </w:tc>
        <w:tc>
          <w:tcPr>
            <w:tcW w:w="1945" w:type="dxa"/>
          </w:tcPr>
          <w:p>
            <w:pPr>
              <w:pStyle w:val="0"/>
            </w:pPr>
            <w:r>
              <w:rPr>
                <w:sz w:val="20"/>
              </w:rPr>
            </w:r>
          </w:p>
        </w:tc>
        <w:tc>
          <w:tcPr>
            <w:tcW w:w="792" w:type="dxa"/>
          </w:tcPr>
          <w:p>
            <w:pPr>
              <w:pStyle w:val="0"/>
            </w:pPr>
            <w:r>
              <w:rPr>
                <w:sz w:val="20"/>
              </w:rPr>
            </w:r>
          </w:p>
        </w:tc>
        <w:tc>
          <w:tcPr>
            <w:tcW w:w="792" w:type="dxa"/>
          </w:tcPr>
          <w:p>
            <w:pPr>
              <w:pStyle w:val="0"/>
            </w:pPr>
            <w:r>
              <w:rPr>
                <w:sz w:val="20"/>
              </w:rPr>
            </w:r>
          </w:p>
        </w:tc>
        <w:tc>
          <w:tcPr>
            <w:tcW w:w="793" w:type="dxa"/>
          </w:tcPr>
          <w:p>
            <w:pPr>
              <w:pStyle w:val="0"/>
            </w:pPr>
            <w:r>
              <w:rPr>
                <w:sz w:val="20"/>
              </w:rPr>
            </w:r>
          </w:p>
        </w:tc>
      </w:tr>
      <w:tr>
        <w:tc>
          <w:tcPr>
            <w:tcW w:w="850" w:type="dxa"/>
          </w:tcPr>
          <w:p>
            <w:pPr>
              <w:pStyle w:val="0"/>
              <w:jc w:val="center"/>
            </w:pPr>
            <w:r>
              <w:rPr>
                <w:sz w:val="20"/>
              </w:rPr>
              <w:t xml:space="preserve">3</w:t>
            </w:r>
          </w:p>
        </w:tc>
        <w:tc>
          <w:tcPr>
            <w:gridSpan w:val="3"/>
            <w:tcW w:w="5833" w:type="dxa"/>
          </w:tcPr>
          <w:p>
            <w:pPr>
              <w:pStyle w:val="0"/>
            </w:pPr>
            <w:r>
              <w:rPr>
                <w:sz w:val="20"/>
              </w:rPr>
              <w:t xml:space="preserve">Вид пользования недрами:</w:t>
            </w:r>
          </w:p>
        </w:tc>
        <w:tc>
          <w:tcPr>
            <w:gridSpan w:val="3"/>
            <w:tcW w:w="2377" w:type="dxa"/>
          </w:tcPr>
          <w:p>
            <w:pPr>
              <w:pStyle w:val="0"/>
            </w:pPr>
            <w:r>
              <w:rPr>
                <w:sz w:val="20"/>
              </w:rPr>
            </w:r>
          </w:p>
        </w:tc>
      </w:tr>
      <w:tr>
        <w:tc>
          <w:tcPr>
            <w:tcW w:w="850" w:type="dxa"/>
          </w:tcPr>
          <w:p>
            <w:pPr>
              <w:pStyle w:val="0"/>
              <w:jc w:val="center"/>
            </w:pPr>
            <w:r>
              <w:rPr>
                <w:sz w:val="20"/>
              </w:rPr>
              <w:t xml:space="preserve">4</w:t>
            </w:r>
          </w:p>
        </w:tc>
        <w:tc>
          <w:tcPr>
            <w:gridSpan w:val="3"/>
            <w:tcW w:w="5833" w:type="dxa"/>
          </w:tcPr>
          <w:p>
            <w:pPr>
              <w:pStyle w:val="0"/>
            </w:pPr>
            <w:r>
              <w:rPr>
                <w:sz w:val="20"/>
              </w:rPr>
              <w:t xml:space="preserve">Количество водозаборных сооружений, расположенных в границах участка недр местного значения (указывается для получения права пользования участком недр местного значения для добычи подземных вод)</w:t>
            </w:r>
          </w:p>
        </w:tc>
        <w:tc>
          <w:tcPr>
            <w:gridSpan w:val="3"/>
            <w:tcW w:w="2377" w:type="dxa"/>
          </w:tcPr>
          <w:p>
            <w:pPr>
              <w:pStyle w:val="0"/>
            </w:pPr>
            <w:r>
              <w:rPr>
                <w:sz w:val="20"/>
              </w:rPr>
            </w:r>
          </w:p>
        </w:tc>
      </w:tr>
      <w:tr>
        <w:tc>
          <w:tcPr>
            <w:tcW w:w="850" w:type="dxa"/>
          </w:tcPr>
          <w:p>
            <w:pPr>
              <w:pStyle w:val="0"/>
              <w:jc w:val="center"/>
            </w:pPr>
            <w:r>
              <w:rPr>
                <w:sz w:val="20"/>
              </w:rPr>
              <w:t xml:space="preserve">5</w:t>
            </w:r>
          </w:p>
        </w:tc>
        <w:tc>
          <w:tcPr>
            <w:gridSpan w:val="3"/>
            <w:tcW w:w="5833" w:type="dxa"/>
          </w:tcPr>
          <w:p>
            <w:pPr>
              <w:pStyle w:val="0"/>
            </w:pPr>
            <w:r>
              <w:rPr>
                <w:sz w:val="20"/>
              </w:rPr>
              <w:t xml:space="preserve">Величина заявленного водопотребления (указывается для получения права пользования участком недр местного значения для добычи подземных вод)</w:t>
            </w:r>
          </w:p>
        </w:tc>
        <w:tc>
          <w:tcPr>
            <w:gridSpan w:val="3"/>
            <w:tcW w:w="2377" w:type="dxa"/>
          </w:tcPr>
          <w:p>
            <w:pPr>
              <w:pStyle w:val="0"/>
            </w:pPr>
            <w:r>
              <w:rPr>
                <w:sz w:val="20"/>
              </w:rPr>
            </w:r>
          </w:p>
        </w:tc>
      </w:tr>
      <w:tr>
        <w:tc>
          <w:tcPr>
            <w:tcW w:w="850" w:type="dxa"/>
          </w:tcPr>
          <w:p>
            <w:pPr>
              <w:pStyle w:val="0"/>
              <w:jc w:val="center"/>
            </w:pPr>
            <w:r>
              <w:rPr>
                <w:sz w:val="20"/>
              </w:rPr>
              <w:t xml:space="preserve">6</w:t>
            </w:r>
          </w:p>
        </w:tc>
        <w:tc>
          <w:tcPr>
            <w:gridSpan w:val="3"/>
            <w:tcW w:w="5833" w:type="dxa"/>
          </w:tcPr>
          <w:p>
            <w:pPr>
              <w:pStyle w:val="0"/>
            </w:pPr>
            <w:r>
              <w:rPr>
                <w:sz w:val="20"/>
              </w:rPr>
              <w:t xml:space="preserve">Реквизиты (номер, дата выдачи)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(указывается для получения права пользования участком недр местного значения для добычи подземных вод для целей питьевого водоснабжения)</w:t>
            </w:r>
          </w:p>
        </w:tc>
        <w:tc>
          <w:tcPr>
            <w:gridSpan w:val="3"/>
            <w:tcW w:w="2377" w:type="dxa"/>
          </w:tcPr>
          <w:p>
            <w:pPr>
              <w:pStyle w:val="0"/>
            </w:pPr>
            <w:r>
              <w:rPr>
                <w:sz w:val="20"/>
              </w:rPr>
            </w:r>
          </w:p>
        </w:tc>
      </w:tr>
      <w:tr>
        <w:tc>
          <w:tcPr>
            <w:tcW w:w="850" w:type="dxa"/>
          </w:tcPr>
          <w:p>
            <w:pPr>
              <w:pStyle w:val="0"/>
              <w:jc w:val="center"/>
            </w:pPr>
            <w:r>
              <w:rPr>
                <w:sz w:val="20"/>
              </w:rPr>
              <w:t xml:space="preserve">7</w:t>
            </w:r>
          </w:p>
        </w:tc>
        <w:tc>
          <w:tcPr>
            <w:gridSpan w:val="3"/>
            <w:tcW w:w="5833" w:type="dxa"/>
          </w:tcPr>
          <w:p>
            <w:pPr>
              <w:pStyle w:val="0"/>
            </w:pPr>
            <w:r>
              <w:rPr>
                <w:sz w:val="20"/>
              </w:rPr>
              <w:t xml:space="preserve">Реквизиты документа, подтверждающего оплату государственной пошлины</w:t>
            </w:r>
          </w:p>
        </w:tc>
        <w:tc>
          <w:tcPr>
            <w:gridSpan w:val="3"/>
            <w:tcW w:w="2377" w:type="dxa"/>
          </w:tcPr>
          <w:p>
            <w:pPr>
              <w:pStyle w:val="0"/>
            </w:pPr>
            <w:r>
              <w:rPr>
                <w:sz w:val="20"/>
              </w:rPr>
            </w:r>
          </w:p>
        </w:tc>
      </w:tr>
    </w:tbl>
    <w:p>
      <w:pPr>
        <w:pStyle w:val="0"/>
        <w:jc w:val="both"/>
      </w:pPr>
      <w:r>
        <w:rPr>
          <w:sz w:val="20"/>
        </w:rPr>
      </w:r>
    </w:p>
    <w:p>
      <w:pPr>
        <w:pStyle w:val="0"/>
        <w:ind w:firstLine="540"/>
        <w:jc w:val="both"/>
      </w:pPr>
      <w:r>
        <w:rPr>
          <w:sz w:val="20"/>
        </w:rPr>
        <w:t xml:space="preserve">Результат предоставления государственной услуги в виде уведомления об отказе в приеме заявки или об отказе в предоставлении государственной услуги прошу выдать (выбрать):</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8561"/>
      </w:tblGrid>
      <w:tr>
        <w:tc>
          <w:tcPr>
            <w:tcW w:w="454" w:type="dxa"/>
          </w:tcPr>
          <w:p>
            <w:pPr>
              <w:pStyle w:val="0"/>
            </w:pPr>
            <w:r>
              <w:rPr>
                <w:sz w:val="20"/>
              </w:rPr>
            </w:r>
          </w:p>
        </w:tc>
        <w:tc>
          <w:tcPr>
            <w:tcW w:w="8561" w:type="dxa"/>
          </w:tcPr>
          <w:p>
            <w:pPr>
              <w:pStyle w:val="0"/>
            </w:pPr>
            <w:r>
              <w:rPr>
                <w:sz w:val="20"/>
              </w:rPr>
              <w:t xml:space="preserve">направить на электронную почту: ___________________________________</w:t>
            </w:r>
          </w:p>
        </w:tc>
      </w:tr>
      <w:tr>
        <w:tc>
          <w:tcPr>
            <w:tcW w:w="454" w:type="dxa"/>
          </w:tcPr>
          <w:p>
            <w:pPr>
              <w:pStyle w:val="0"/>
            </w:pPr>
            <w:r>
              <w:rPr>
                <w:sz w:val="20"/>
              </w:rPr>
            </w:r>
          </w:p>
        </w:tc>
        <w:tc>
          <w:tcPr>
            <w:tcW w:w="8561" w:type="dxa"/>
          </w:tcPr>
          <w:p>
            <w:pPr>
              <w:pStyle w:val="0"/>
            </w:pPr>
            <w:r>
              <w:rPr>
                <w:sz w:val="20"/>
              </w:rPr>
              <w:t xml:space="preserve">выдать непосредственно в министерстве природных ресурсов и экологии Саратовской области</w:t>
            </w:r>
          </w:p>
        </w:tc>
      </w:tr>
    </w:tbl>
    <w:p>
      <w:pPr>
        <w:pStyle w:val="0"/>
        <w:jc w:val="both"/>
      </w:pPr>
      <w:r>
        <w:rPr>
          <w:sz w:val="20"/>
        </w:rPr>
      </w:r>
    </w:p>
    <w:p>
      <w:pPr>
        <w:pStyle w:val="1"/>
        <w:jc w:val="both"/>
      </w:pPr>
      <w:r>
        <w:rPr>
          <w:sz w:val="20"/>
        </w:rPr>
        <w:t xml:space="preserve">___________________________________________________________________</w:t>
      </w:r>
    </w:p>
    <w:p>
      <w:pPr>
        <w:pStyle w:val="1"/>
        <w:jc w:val="both"/>
      </w:pPr>
      <w:r>
        <w:rPr>
          <w:sz w:val="20"/>
        </w:rPr>
        <w:t xml:space="preserve">        Заявитель (должность/И.О. Фамилия/подпись, печать)</w:t>
      </w:r>
    </w:p>
    <w:p>
      <w:pPr>
        <w:pStyle w:val="0"/>
        <w:jc w:val="both"/>
      </w:pPr>
      <w:r>
        <w:rPr>
          <w:sz w:val="20"/>
        </w:rPr>
      </w:r>
    </w:p>
    <w:p>
      <w:pPr>
        <w:pStyle w:val="0"/>
        <w:jc w:val="both"/>
      </w:pPr>
      <w:r>
        <w:rPr>
          <w:sz w:val="20"/>
        </w:rPr>
      </w:r>
    </w:p>
    <w:p>
      <w:pPr>
        <w:pStyle w:val="0"/>
        <w:jc w:val="both"/>
      </w:pPr>
      <w:r>
        <w:rPr>
          <w:sz w:val="20"/>
        </w:rPr>
      </w:r>
    </w:p>
    <w:p>
      <w:pPr>
        <w:pStyle w:val="0"/>
        <w:outlineLvl w:val="3"/>
        <w:jc w:val="center"/>
      </w:pPr>
      <w:r>
        <w:rPr>
          <w:sz w:val="20"/>
        </w:rPr>
        <w:t xml:space="preserve">Форма к вариантам Б1 - Б4</w:t>
      </w:r>
    </w:p>
    <w:p>
      <w:pPr>
        <w:pStyle w:val="0"/>
        <w:jc w:val="both"/>
      </w:pPr>
      <w:r>
        <w:rPr>
          <w:sz w:val="20"/>
        </w:rPr>
      </w:r>
    </w:p>
    <w:p>
      <w:pPr>
        <w:pStyle w:val="1"/>
        <w:jc w:val="both"/>
      </w:pPr>
      <w:r>
        <w:rPr>
          <w:sz w:val="20"/>
        </w:rPr>
        <w:t xml:space="preserve">                               В министерство природных ресурсов и экологии</w:t>
      </w:r>
    </w:p>
    <w:p>
      <w:pPr>
        <w:pStyle w:val="1"/>
        <w:jc w:val="both"/>
      </w:pPr>
      <w:r>
        <w:rPr>
          <w:sz w:val="20"/>
        </w:rPr>
        <w:t xml:space="preserve">                                                        Саратовской области</w:t>
      </w:r>
    </w:p>
    <w:p>
      <w:pPr>
        <w:pStyle w:val="1"/>
        <w:jc w:val="both"/>
      </w:pPr>
      <w:r>
        <w:rPr>
          <w:sz w:val="20"/>
        </w:rPr>
        <w:t xml:space="preserve">Исх. N "__" от _________ 20__ года</w:t>
      </w:r>
    </w:p>
    <w:p>
      <w:pPr>
        <w:pStyle w:val="1"/>
        <w:jc w:val="both"/>
      </w:pPr>
      <w:r>
        <w:rPr>
          <w:sz w:val="20"/>
        </w:rPr>
      </w:r>
    </w:p>
    <w:p>
      <w:pPr>
        <w:pStyle w:val="1"/>
        <w:jc w:val="both"/>
      </w:pPr>
      <w:r>
        <w:rPr>
          <w:sz w:val="20"/>
        </w:rPr>
        <w:t xml:space="preserve">                                  Заявка</w:t>
      </w:r>
    </w:p>
    <w:p>
      <w:pPr>
        <w:pStyle w:val="1"/>
        <w:jc w:val="both"/>
      </w:pPr>
      <w:r>
        <w:rPr>
          <w:sz w:val="20"/>
        </w:rPr>
        <w:t xml:space="preserve">         на внесение изменений в лицензию на пользование участком</w:t>
      </w:r>
    </w:p>
    <w:p>
      <w:pPr>
        <w:pStyle w:val="1"/>
        <w:jc w:val="both"/>
      </w:pPr>
      <w:r>
        <w:rPr>
          <w:sz w:val="20"/>
        </w:rPr>
        <w:t xml:space="preserve">                          недр местного значения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576"/>
        <w:gridCol w:w="2494"/>
      </w:tblGrid>
      <w:tr>
        <w:tc>
          <w:tcPr>
            <w:gridSpan w:val="2"/>
            <w:tcW w:w="9070" w:type="dxa"/>
          </w:tcPr>
          <w:p>
            <w:pPr>
              <w:pStyle w:val="0"/>
            </w:pPr>
            <w:r>
              <w:rPr>
                <w:sz w:val="20"/>
              </w:rPr>
              <w:t xml:space="preserve">1. Сведения о пользователе недр</w:t>
            </w:r>
          </w:p>
        </w:tc>
      </w:tr>
      <w:tr>
        <w:tc>
          <w:tcPr>
            <w:tcW w:w="6576" w:type="dxa"/>
          </w:tcPr>
          <w:p>
            <w:pPr>
              <w:pStyle w:val="0"/>
            </w:pPr>
            <w:r>
              <w:rPr>
                <w:sz w:val="20"/>
              </w:rPr>
              <w:t xml:space="preserve">Полное наименование юридического лица, его организационно-правовая форма, или фамилия, имя, отчество (при наличии) индивидуального предпринимателя</w:t>
            </w:r>
          </w:p>
        </w:tc>
        <w:tc>
          <w:tcPr>
            <w:tcW w:w="2494" w:type="dxa"/>
          </w:tcPr>
          <w:p>
            <w:pPr>
              <w:pStyle w:val="0"/>
            </w:pPr>
            <w:r>
              <w:rPr>
                <w:sz w:val="20"/>
              </w:rPr>
            </w:r>
          </w:p>
        </w:tc>
      </w:tr>
      <w:tr>
        <w:tc>
          <w:tcPr>
            <w:tcW w:w="6576" w:type="dxa"/>
          </w:tcPr>
          <w:p>
            <w:pPr>
              <w:pStyle w:val="0"/>
            </w:pPr>
            <w:r>
              <w:rPr>
                <w:sz w:val="20"/>
              </w:rPr>
              <w:t xml:space="preserve">Адрес электронной почты (при наличии)</w:t>
            </w:r>
          </w:p>
        </w:tc>
        <w:tc>
          <w:tcPr>
            <w:tcW w:w="2494" w:type="dxa"/>
          </w:tcPr>
          <w:p>
            <w:pPr>
              <w:pStyle w:val="0"/>
            </w:pPr>
            <w:r>
              <w:rPr>
                <w:sz w:val="20"/>
              </w:rPr>
            </w:r>
          </w:p>
        </w:tc>
      </w:tr>
      <w:tr>
        <w:tc>
          <w:tcPr>
            <w:tcW w:w="6576" w:type="dxa"/>
          </w:tcPr>
          <w:p>
            <w:pPr>
              <w:pStyle w:val="0"/>
            </w:pPr>
            <w:r>
              <w:rPr>
                <w:sz w:val="20"/>
              </w:rPr>
              <w:t xml:space="preserve">Почтовый адрес</w:t>
            </w:r>
          </w:p>
        </w:tc>
        <w:tc>
          <w:tcPr>
            <w:tcW w:w="2494" w:type="dxa"/>
          </w:tcPr>
          <w:p>
            <w:pPr>
              <w:pStyle w:val="0"/>
            </w:pPr>
            <w:r>
              <w:rPr>
                <w:sz w:val="20"/>
              </w:rPr>
            </w:r>
          </w:p>
        </w:tc>
      </w:tr>
      <w:tr>
        <w:tc>
          <w:tcPr>
            <w:tcW w:w="6576" w:type="dxa"/>
          </w:tcPr>
          <w:p>
            <w:pPr>
              <w:pStyle w:val="0"/>
            </w:pPr>
            <w:r>
              <w:rPr>
                <w:sz w:val="20"/>
              </w:rPr>
              <w:t xml:space="preserve">ОГРН/ОГРНИП</w:t>
            </w:r>
          </w:p>
        </w:tc>
        <w:tc>
          <w:tcPr>
            <w:tcW w:w="2494" w:type="dxa"/>
          </w:tcPr>
          <w:p>
            <w:pPr>
              <w:pStyle w:val="0"/>
            </w:pPr>
            <w:r>
              <w:rPr>
                <w:sz w:val="20"/>
              </w:rPr>
            </w:r>
          </w:p>
        </w:tc>
      </w:tr>
      <w:tr>
        <w:tc>
          <w:tcPr>
            <w:tcW w:w="6576" w:type="dxa"/>
          </w:tcPr>
          <w:p>
            <w:pPr>
              <w:pStyle w:val="0"/>
            </w:pPr>
            <w:r>
              <w:rPr>
                <w:sz w:val="20"/>
              </w:rPr>
              <w:t xml:space="preserve">ИНН</w:t>
            </w:r>
          </w:p>
        </w:tc>
        <w:tc>
          <w:tcPr>
            <w:tcW w:w="2494" w:type="dxa"/>
          </w:tcPr>
          <w:p>
            <w:pPr>
              <w:pStyle w:val="0"/>
            </w:pPr>
            <w:r>
              <w:rPr>
                <w:sz w:val="20"/>
              </w:rPr>
            </w:r>
          </w:p>
        </w:tc>
      </w:tr>
      <w:tr>
        <w:tc>
          <w:tcPr>
            <w:gridSpan w:val="2"/>
            <w:tcW w:w="9070" w:type="dxa"/>
          </w:tcPr>
          <w:p>
            <w:pPr>
              <w:pStyle w:val="0"/>
            </w:pPr>
            <w:r>
              <w:rPr>
                <w:sz w:val="20"/>
              </w:rPr>
              <w:t xml:space="preserve">2. Сведения о лицензии на право пользования участком недр местного значения</w:t>
            </w:r>
          </w:p>
        </w:tc>
      </w:tr>
      <w:tr>
        <w:tc>
          <w:tcPr>
            <w:tcW w:w="6576" w:type="dxa"/>
          </w:tcPr>
          <w:p>
            <w:pPr>
              <w:pStyle w:val="0"/>
            </w:pPr>
            <w:r>
              <w:rPr>
                <w:sz w:val="20"/>
              </w:rPr>
              <w:t xml:space="preserve">Государственный регистрационный номер лицензии на пользование участком недр местного значения,</w:t>
            </w:r>
          </w:p>
        </w:tc>
        <w:tc>
          <w:tcPr>
            <w:tcW w:w="2494" w:type="dxa"/>
          </w:tcPr>
          <w:p>
            <w:pPr>
              <w:pStyle w:val="0"/>
            </w:pPr>
            <w:r>
              <w:rPr>
                <w:sz w:val="20"/>
              </w:rPr>
            </w:r>
          </w:p>
        </w:tc>
      </w:tr>
      <w:tr>
        <w:tc>
          <w:tcPr>
            <w:tcW w:w="6576" w:type="dxa"/>
          </w:tcPr>
          <w:p>
            <w:pPr>
              <w:pStyle w:val="0"/>
            </w:pPr>
            <w:r>
              <w:rPr>
                <w:sz w:val="20"/>
              </w:rPr>
              <w:t xml:space="preserve">Дата государственной регистрации лицензии на пользование участком недр местного значения</w:t>
            </w:r>
          </w:p>
        </w:tc>
        <w:tc>
          <w:tcPr>
            <w:tcW w:w="2494" w:type="dxa"/>
          </w:tcPr>
          <w:p>
            <w:pPr>
              <w:pStyle w:val="0"/>
            </w:pPr>
            <w:r>
              <w:rPr>
                <w:sz w:val="20"/>
              </w:rPr>
            </w:r>
          </w:p>
        </w:tc>
      </w:tr>
      <w:tr>
        <w:tc>
          <w:tcPr>
            <w:tcW w:w="6576" w:type="dxa"/>
          </w:tcPr>
          <w:p>
            <w:pPr>
              <w:pStyle w:val="0"/>
            </w:pPr>
            <w:r>
              <w:rPr>
                <w:sz w:val="20"/>
              </w:rPr>
              <w:t xml:space="preserve">Наименование участка недр местного значения (при наличии)</w:t>
            </w:r>
          </w:p>
        </w:tc>
        <w:tc>
          <w:tcPr>
            <w:tcW w:w="2494" w:type="dxa"/>
          </w:tcPr>
          <w:p>
            <w:pPr>
              <w:pStyle w:val="0"/>
            </w:pPr>
            <w:r>
              <w:rPr>
                <w:sz w:val="20"/>
              </w:rPr>
            </w:r>
          </w:p>
        </w:tc>
      </w:tr>
      <w:tr>
        <w:tc>
          <w:tcPr>
            <w:tcW w:w="6576" w:type="dxa"/>
          </w:tcPr>
          <w:p>
            <w:pPr>
              <w:pStyle w:val="0"/>
            </w:pPr>
            <w:r>
              <w:rPr>
                <w:sz w:val="20"/>
              </w:rPr>
              <w:t xml:space="preserve">Целевое назначение работ на участке недр</w:t>
            </w:r>
          </w:p>
        </w:tc>
        <w:tc>
          <w:tcPr>
            <w:tcW w:w="2494" w:type="dxa"/>
          </w:tcPr>
          <w:p>
            <w:pPr>
              <w:pStyle w:val="0"/>
            </w:pPr>
            <w:r>
              <w:rPr>
                <w:sz w:val="20"/>
              </w:rPr>
            </w:r>
          </w:p>
        </w:tc>
      </w:tr>
      <w:tr>
        <w:tc>
          <w:tcPr>
            <w:tcW w:w="6576" w:type="dxa"/>
          </w:tcPr>
          <w:p>
            <w:pPr>
              <w:pStyle w:val="0"/>
            </w:pPr>
            <w:r>
              <w:rPr>
                <w:sz w:val="20"/>
              </w:rPr>
              <w:t xml:space="preserve">3. Основание внесения изменений в лицензию на пользование участком недр местного значения (указывается в соответствии с </w:t>
            </w:r>
            <w:hyperlink w:history="0" r:id="rId149"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подпунктами 1</w:t>
              </w:r>
            </w:hyperlink>
            <w:r>
              <w:rPr>
                <w:sz w:val="20"/>
              </w:rPr>
              <w:t xml:space="preserve"> - </w:t>
            </w:r>
            <w:hyperlink w:history="0" r:id="rId150"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5</w:t>
              </w:r>
            </w:hyperlink>
            <w:r>
              <w:rPr>
                <w:sz w:val="20"/>
              </w:rPr>
              <w:t xml:space="preserve">, </w:t>
            </w:r>
            <w:hyperlink w:history="0" r:id="rId151" w:tooltip="Приказ министерства природных ресурсов и экологии Саратовской области от 15.04.2022 N 155 (ред. от 22.12.2025) &quot;Об утверждении Порядка оформления, государственной регистрации и выдачи лицензий на пользование недрами, порядка внесения изменений в лицензии на пользование недрами, порядка переоформления лицензий на пользование недрами в отношении участков недр местного значения, а также порядка прекращения права пользования недрами, в том числе досрочного, приостановления осуществления права пользования недрам {КонсультантПлюс}">
              <w:r>
                <w:rPr>
                  <w:sz w:val="20"/>
                  <w:color w:val="0000ff"/>
                </w:rPr>
                <w:t xml:space="preserve">7 части первой пункта 1</w:t>
              </w:r>
            </w:hyperlink>
            <w:r>
              <w:rPr>
                <w:sz w:val="20"/>
              </w:rPr>
              <w:t xml:space="preserve"> настоящего порядка внесения изменений в лицензии на пользование недрами в отношении участков недр местного значения, утвержденного приказом министерства природных ресурсов и экологии Саратовской области от 15 апреля 2022 года N 155)</w:t>
            </w:r>
          </w:p>
        </w:tc>
        <w:tc>
          <w:tcPr>
            <w:tcW w:w="2494" w:type="dxa"/>
          </w:tcPr>
          <w:p>
            <w:pPr>
              <w:pStyle w:val="0"/>
            </w:pPr>
            <w:r>
              <w:rPr>
                <w:sz w:val="20"/>
              </w:rPr>
            </w:r>
          </w:p>
        </w:tc>
      </w:tr>
      <w:tr>
        <w:tc>
          <w:tcPr>
            <w:tcW w:w="6576" w:type="dxa"/>
          </w:tcPr>
          <w:p>
            <w:pPr>
              <w:pStyle w:val="0"/>
            </w:pPr>
            <w:r>
              <w:rPr>
                <w:sz w:val="20"/>
              </w:rPr>
              <w:t xml:space="preserve">4. Краткое описание предложений по внесению изменений в лицензию на пользование участком недр местного значения (с указанием раздела лицензии на пользование участком недр местного значения, в который предлагается внесение изменений)</w:t>
            </w:r>
          </w:p>
        </w:tc>
        <w:tc>
          <w:tcPr>
            <w:tcW w:w="2494" w:type="dxa"/>
          </w:tcPr>
          <w:p>
            <w:pPr>
              <w:pStyle w:val="0"/>
            </w:pPr>
            <w:r>
              <w:rPr>
                <w:sz w:val="20"/>
              </w:rPr>
            </w:r>
          </w:p>
        </w:tc>
      </w:tr>
      <w:tr>
        <w:tc>
          <w:tcPr>
            <w:tcW w:w="6576" w:type="dxa"/>
          </w:tcPr>
          <w:p>
            <w:pPr>
              <w:pStyle w:val="0"/>
            </w:pPr>
            <w:r>
              <w:rPr>
                <w:sz w:val="20"/>
              </w:rPr>
              <w:t xml:space="preserve">5. Реквизиты решения об изменении границ участка недр местного значения, предоставленного в пользование (при наличии)</w:t>
            </w:r>
          </w:p>
        </w:tc>
        <w:tc>
          <w:tcPr>
            <w:tcW w:w="2494" w:type="dxa"/>
          </w:tcPr>
          <w:p>
            <w:pPr>
              <w:pStyle w:val="0"/>
            </w:pPr>
            <w:r>
              <w:rPr>
                <w:sz w:val="20"/>
              </w:rPr>
            </w:r>
          </w:p>
        </w:tc>
      </w:tr>
      <w:tr>
        <w:tc>
          <w:tcPr>
            <w:tcW w:w="6576" w:type="dxa"/>
          </w:tcPr>
          <w:p>
            <w:pPr>
              <w:pStyle w:val="0"/>
            </w:pPr>
            <w:r>
              <w:rPr>
                <w:sz w:val="20"/>
              </w:rPr>
              <w:t xml:space="preserve">6. Реквизиты платежного поручения, подтверждающего факт уплаты государственной пошлины</w:t>
            </w:r>
          </w:p>
        </w:tc>
        <w:tc>
          <w:tcPr>
            <w:tcW w:w="2494" w:type="dxa"/>
          </w:tcPr>
          <w:p>
            <w:pPr>
              <w:pStyle w:val="0"/>
            </w:pPr>
            <w:r>
              <w:rPr>
                <w:sz w:val="20"/>
              </w:rPr>
            </w:r>
          </w:p>
        </w:tc>
      </w:tr>
    </w:tbl>
    <w:p>
      <w:pPr>
        <w:pStyle w:val="0"/>
        <w:jc w:val="both"/>
      </w:pPr>
      <w:r>
        <w:rPr>
          <w:sz w:val="20"/>
        </w:rPr>
      </w:r>
    </w:p>
    <w:p>
      <w:pPr>
        <w:pStyle w:val="0"/>
        <w:ind w:firstLine="540"/>
        <w:jc w:val="both"/>
      </w:pPr>
      <w:r>
        <w:rPr>
          <w:sz w:val="20"/>
        </w:rPr>
        <w:t xml:space="preserve">Результат предоставления государственной услуги в виде уведомления об отказе в предоставлении государственной услуги прошу выдать (выбрать):</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8561"/>
      </w:tblGrid>
      <w:tr>
        <w:tc>
          <w:tcPr>
            <w:tcW w:w="454" w:type="dxa"/>
          </w:tcPr>
          <w:p>
            <w:pPr>
              <w:pStyle w:val="0"/>
            </w:pPr>
            <w:r>
              <w:rPr>
                <w:sz w:val="20"/>
              </w:rPr>
            </w:r>
          </w:p>
        </w:tc>
        <w:tc>
          <w:tcPr>
            <w:tcW w:w="8561" w:type="dxa"/>
          </w:tcPr>
          <w:p>
            <w:pPr>
              <w:pStyle w:val="0"/>
            </w:pPr>
            <w:r>
              <w:rPr>
                <w:sz w:val="20"/>
              </w:rPr>
              <w:t xml:space="preserve">направить на электронную почту: ___________________________________</w:t>
            </w:r>
          </w:p>
        </w:tc>
      </w:tr>
      <w:tr>
        <w:tc>
          <w:tcPr>
            <w:tcW w:w="454" w:type="dxa"/>
          </w:tcPr>
          <w:p>
            <w:pPr>
              <w:pStyle w:val="0"/>
            </w:pPr>
            <w:r>
              <w:rPr>
                <w:sz w:val="20"/>
              </w:rPr>
            </w:r>
          </w:p>
        </w:tc>
        <w:tc>
          <w:tcPr>
            <w:tcW w:w="8561" w:type="dxa"/>
          </w:tcPr>
          <w:p>
            <w:pPr>
              <w:pStyle w:val="0"/>
            </w:pPr>
            <w:r>
              <w:rPr>
                <w:sz w:val="20"/>
              </w:rPr>
              <w:t xml:space="preserve">выдать непосредственно в министерстве природных ресурсов и экологии Саратовской области</w:t>
            </w:r>
          </w:p>
        </w:tc>
      </w:tr>
    </w:tbl>
    <w:p>
      <w:pPr>
        <w:pStyle w:val="0"/>
        <w:jc w:val="both"/>
      </w:pPr>
      <w:r>
        <w:rPr>
          <w:sz w:val="20"/>
        </w:rPr>
      </w:r>
    </w:p>
    <w:p>
      <w:pPr>
        <w:pStyle w:val="1"/>
        <w:jc w:val="both"/>
      </w:pPr>
      <w:r>
        <w:rPr>
          <w:sz w:val="20"/>
        </w:rPr>
        <w:t xml:space="preserve">___________________________________________________________________</w:t>
      </w:r>
    </w:p>
    <w:p>
      <w:pPr>
        <w:pStyle w:val="1"/>
        <w:jc w:val="both"/>
      </w:pPr>
      <w:r>
        <w:rPr>
          <w:sz w:val="20"/>
        </w:rPr>
        <w:t xml:space="preserve"> Заявитель (должность (при наличии) /И.О. Фамилия/подпись, печать)</w:t>
      </w:r>
    </w:p>
    <w:p>
      <w:pPr>
        <w:pStyle w:val="0"/>
        <w:jc w:val="both"/>
      </w:pPr>
      <w:r>
        <w:rPr>
          <w:sz w:val="20"/>
        </w:rPr>
      </w:r>
    </w:p>
    <w:p>
      <w:pPr>
        <w:pStyle w:val="0"/>
        <w:jc w:val="both"/>
      </w:pPr>
      <w:r>
        <w:rPr>
          <w:sz w:val="20"/>
        </w:rPr>
      </w:r>
    </w:p>
    <w:p>
      <w:pPr>
        <w:pStyle w:val="0"/>
        <w:jc w:val="both"/>
      </w:pPr>
      <w:r>
        <w:rPr>
          <w:sz w:val="20"/>
        </w:rPr>
      </w:r>
    </w:p>
    <w:p>
      <w:pPr>
        <w:pStyle w:val="0"/>
        <w:outlineLvl w:val="3"/>
        <w:jc w:val="center"/>
      </w:pPr>
      <w:r>
        <w:rPr>
          <w:sz w:val="20"/>
        </w:rPr>
        <w:t xml:space="preserve">Форма к вариантам В1 - В4</w:t>
      </w:r>
    </w:p>
    <w:p>
      <w:pPr>
        <w:pStyle w:val="0"/>
        <w:jc w:val="both"/>
      </w:pPr>
      <w:r>
        <w:rPr>
          <w:sz w:val="20"/>
        </w:rPr>
      </w:r>
    </w:p>
    <w:p>
      <w:pPr>
        <w:pStyle w:val="1"/>
        <w:jc w:val="both"/>
      </w:pPr>
      <w:r>
        <w:rPr>
          <w:sz w:val="20"/>
        </w:rPr>
        <w:t xml:space="preserve">                               В министерство природных ресурсов и экологии</w:t>
      </w:r>
    </w:p>
    <w:p>
      <w:pPr>
        <w:pStyle w:val="1"/>
        <w:jc w:val="both"/>
      </w:pPr>
      <w:r>
        <w:rPr>
          <w:sz w:val="20"/>
        </w:rPr>
        <w:t xml:space="preserve">                                                        Саратовской области</w:t>
      </w:r>
    </w:p>
    <w:p>
      <w:pPr>
        <w:pStyle w:val="1"/>
        <w:jc w:val="both"/>
      </w:pPr>
      <w:r>
        <w:rPr>
          <w:sz w:val="20"/>
        </w:rPr>
        <w:t xml:space="preserve">Исх. N "__" от _________ 20__ года</w:t>
      </w:r>
    </w:p>
    <w:p>
      <w:pPr>
        <w:pStyle w:val="1"/>
        <w:jc w:val="both"/>
      </w:pPr>
      <w:r>
        <w:rPr>
          <w:sz w:val="20"/>
        </w:rPr>
      </w:r>
    </w:p>
    <w:p>
      <w:pPr>
        <w:pStyle w:val="1"/>
        <w:jc w:val="both"/>
      </w:pPr>
      <w:r>
        <w:rPr>
          <w:sz w:val="20"/>
        </w:rPr>
        <w:t xml:space="preserve">                                  Заявка</w:t>
      </w:r>
    </w:p>
    <w:p>
      <w:pPr>
        <w:pStyle w:val="1"/>
        <w:jc w:val="both"/>
      </w:pPr>
      <w:r>
        <w:rPr>
          <w:sz w:val="20"/>
        </w:rPr>
        <w:t xml:space="preserve">                 на переоформление лицензии на пользование</w:t>
      </w:r>
    </w:p>
    <w:p>
      <w:pPr>
        <w:pStyle w:val="1"/>
        <w:jc w:val="both"/>
      </w:pPr>
      <w:r>
        <w:rPr>
          <w:sz w:val="20"/>
        </w:rPr>
        <w:t xml:space="preserve">                      участком недр местного значения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576"/>
        <w:gridCol w:w="2494"/>
      </w:tblGrid>
      <w:tr>
        <w:tc>
          <w:tcPr>
            <w:gridSpan w:val="2"/>
            <w:tcW w:w="9070" w:type="dxa"/>
          </w:tcPr>
          <w:p>
            <w:pPr>
              <w:pStyle w:val="0"/>
            </w:pPr>
            <w:r>
              <w:rPr>
                <w:sz w:val="20"/>
              </w:rPr>
              <w:t xml:space="preserve">1. Сведения о заявителе</w:t>
            </w:r>
          </w:p>
        </w:tc>
      </w:tr>
      <w:tr>
        <w:tc>
          <w:tcPr>
            <w:tcW w:w="6576" w:type="dxa"/>
          </w:tcPr>
          <w:p>
            <w:pPr>
              <w:pStyle w:val="0"/>
            </w:pPr>
            <w:r>
              <w:rPr>
                <w:sz w:val="20"/>
              </w:rPr>
              <w:t xml:space="preserve">Полное наименование юридического лица, его организационно-правовая форма, или фамилия, имя, отчество (при наличии) индивидуального предпринимателя</w:t>
            </w:r>
          </w:p>
        </w:tc>
        <w:tc>
          <w:tcPr>
            <w:tcW w:w="2494" w:type="dxa"/>
          </w:tcPr>
          <w:p>
            <w:pPr>
              <w:pStyle w:val="0"/>
            </w:pPr>
            <w:r>
              <w:rPr>
                <w:sz w:val="20"/>
              </w:rPr>
            </w:r>
          </w:p>
        </w:tc>
      </w:tr>
      <w:tr>
        <w:tc>
          <w:tcPr>
            <w:tcW w:w="6576" w:type="dxa"/>
          </w:tcPr>
          <w:p>
            <w:pPr>
              <w:pStyle w:val="0"/>
            </w:pPr>
            <w:r>
              <w:rPr>
                <w:sz w:val="20"/>
              </w:rPr>
              <w:t xml:space="preserve">Адрес электронной почты (при наличии)</w:t>
            </w:r>
          </w:p>
        </w:tc>
        <w:tc>
          <w:tcPr>
            <w:tcW w:w="2494" w:type="dxa"/>
          </w:tcPr>
          <w:p>
            <w:pPr>
              <w:pStyle w:val="0"/>
            </w:pPr>
            <w:r>
              <w:rPr>
                <w:sz w:val="20"/>
              </w:rPr>
            </w:r>
          </w:p>
        </w:tc>
      </w:tr>
      <w:tr>
        <w:tc>
          <w:tcPr>
            <w:tcW w:w="6576" w:type="dxa"/>
          </w:tcPr>
          <w:p>
            <w:pPr>
              <w:pStyle w:val="0"/>
            </w:pPr>
            <w:r>
              <w:rPr>
                <w:sz w:val="20"/>
              </w:rPr>
              <w:t xml:space="preserve">Почтовый адрес</w:t>
            </w:r>
          </w:p>
        </w:tc>
        <w:tc>
          <w:tcPr>
            <w:tcW w:w="2494" w:type="dxa"/>
          </w:tcPr>
          <w:p>
            <w:pPr>
              <w:pStyle w:val="0"/>
            </w:pPr>
            <w:r>
              <w:rPr>
                <w:sz w:val="20"/>
              </w:rPr>
            </w:r>
          </w:p>
        </w:tc>
      </w:tr>
      <w:tr>
        <w:tc>
          <w:tcPr>
            <w:tcW w:w="6576" w:type="dxa"/>
          </w:tcPr>
          <w:p>
            <w:pPr>
              <w:pStyle w:val="0"/>
            </w:pPr>
            <w:r>
              <w:rPr>
                <w:sz w:val="20"/>
              </w:rPr>
              <w:t xml:space="preserve">ОГРН/ОГРНИП</w:t>
            </w:r>
          </w:p>
        </w:tc>
        <w:tc>
          <w:tcPr>
            <w:tcW w:w="2494" w:type="dxa"/>
          </w:tcPr>
          <w:p>
            <w:pPr>
              <w:pStyle w:val="0"/>
            </w:pPr>
            <w:r>
              <w:rPr>
                <w:sz w:val="20"/>
              </w:rPr>
            </w:r>
          </w:p>
        </w:tc>
      </w:tr>
      <w:tr>
        <w:tc>
          <w:tcPr>
            <w:tcW w:w="6576" w:type="dxa"/>
          </w:tcPr>
          <w:p>
            <w:pPr>
              <w:pStyle w:val="0"/>
            </w:pPr>
            <w:r>
              <w:rPr>
                <w:sz w:val="20"/>
              </w:rPr>
              <w:t xml:space="preserve">ИНН</w:t>
            </w:r>
          </w:p>
        </w:tc>
        <w:tc>
          <w:tcPr>
            <w:tcW w:w="2494" w:type="dxa"/>
          </w:tcPr>
          <w:p>
            <w:pPr>
              <w:pStyle w:val="0"/>
            </w:pPr>
            <w:r>
              <w:rPr>
                <w:sz w:val="20"/>
              </w:rPr>
            </w:r>
          </w:p>
        </w:tc>
      </w:tr>
      <w:tr>
        <w:tc>
          <w:tcPr>
            <w:gridSpan w:val="2"/>
            <w:tcW w:w="9070" w:type="dxa"/>
          </w:tcPr>
          <w:p>
            <w:pPr>
              <w:pStyle w:val="0"/>
            </w:pPr>
            <w:r>
              <w:rPr>
                <w:sz w:val="20"/>
              </w:rPr>
              <w:t xml:space="preserve">2. Сведения о пользователе недр</w:t>
            </w:r>
          </w:p>
        </w:tc>
      </w:tr>
      <w:tr>
        <w:tc>
          <w:tcPr>
            <w:tcW w:w="6576" w:type="dxa"/>
          </w:tcPr>
          <w:p>
            <w:pPr>
              <w:pStyle w:val="0"/>
            </w:pPr>
            <w:r>
              <w:rPr>
                <w:sz w:val="20"/>
              </w:rPr>
              <w:t xml:space="preserve">Полное наименование юридического лица, его организационно-правовая форма, или фамилия, имя, отчество (при наличии) индивидуального предпринимателя</w:t>
            </w:r>
          </w:p>
        </w:tc>
        <w:tc>
          <w:tcPr>
            <w:tcW w:w="2494" w:type="dxa"/>
          </w:tcPr>
          <w:p>
            <w:pPr>
              <w:pStyle w:val="0"/>
            </w:pPr>
            <w:r>
              <w:rPr>
                <w:sz w:val="20"/>
              </w:rPr>
            </w:r>
          </w:p>
        </w:tc>
      </w:tr>
      <w:tr>
        <w:tc>
          <w:tcPr>
            <w:tcW w:w="6576" w:type="dxa"/>
          </w:tcPr>
          <w:p>
            <w:pPr>
              <w:pStyle w:val="0"/>
            </w:pPr>
            <w:r>
              <w:rPr>
                <w:sz w:val="20"/>
              </w:rPr>
              <w:t xml:space="preserve">Адрес электронной почты (при наличии)</w:t>
            </w:r>
          </w:p>
        </w:tc>
        <w:tc>
          <w:tcPr>
            <w:tcW w:w="2494" w:type="dxa"/>
          </w:tcPr>
          <w:p>
            <w:pPr>
              <w:pStyle w:val="0"/>
            </w:pPr>
            <w:r>
              <w:rPr>
                <w:sz w:val="20"/>
              </w:rPr>
            </w:r>
          </w:p>
        </w:tc>
      </w:tr>
      <w:tr>
        <w:tc>
          <w:tcPr>
            <w:tcW w:w="6576" w:type="dxa"/>
          </w:tcPr>
          <w:p>
            <w:pPr>
              <w:pStyle w:val="0"/>
            </w:pPr>
            <w:r>
              <w:rPr>
                <w:sz w:val="20"/>
              </w:rPr>
              <w:t xml:space="preserve">Почтовый адрес</w:t>
            </w:r>
          </w:p>
        </w:tc>
        <w:tc>
          <w:tcPr>
            <w:tcW w:w="2494" w:type="dxa"/>
          </w:tcPr>
          <w:p>
            <w:pPr>
              <w:pStyle w:val="0"/>
            </w:pPr>
            <w:r>
              <w:rPr>
                <w:sz w:val="20"/>
              </w:rPr>
            </w:r>
          </w:p>
        </w:tc>
      </w:tr>
      <w:tr>
        <w:tc>
          <w:tcPr>
            <w:tcW w:w="6576" w:type="dxa"/>
          </w:tcPr>
          <w:p>
            <w:pPr>
              <w:pStyle w:val="0"/>
            </w:pPr>
            <w:r>
              <w:rPr>
                <w:sz w:val="20"/>
              </w:rPr>
              <w:t xml:space="preserve">ОГРН/ОГРНИП</w:t>
            </w:r>
          </w:p>
        </w:tc>
        <w:tc>
          <w:tcPr>
            <w:tcW w:w="2494" w:type="dxa"/>
          </w:tcPr>
          <w:p>
            <w:pPr>
              <w:pStyle w:val="0"/>
            </w:pPr>
            <w:r>
              <w:rPr>
                <w:sz w:val="20"/>
              </w:rPr>
            </w:r>
          </w:p>
        </w:tc>
      </w:tr>
      <w:tr>
        <w:tc>
          <w:tcPr>
            <w:tcW w:w="6576" w:type="dxa"/>
          </w:tcPr>
          <w:p>
            <w:pPr>
              <w:pStyle w:val="0"/>
            </w:pPr>
            <w:r>
              <w:rPr>
                <w:sz w:val="20"/>
              </w:rPr>
              <w:t xml:space="preserve">ИНН</w:t>
            </w:r>
          </w:p>
        </w:tc>
        <w:tc>
          <w:tcPr>
            <w:tcW w:w="2494" w:type="dxa"/>
          </w:tcPr>
          <w:p>
            <w:pPr>
              <w:pStyle w:val="0"/>
            </w:pPr>
            <w:r>
              <w:rPr>
                <w:sz w:val="20"/>
              </w:rPr>
            </w:r>
          </w:p>
        </w:tc>
      </w:tr>
      <w:tr>
        <w:tc>
          <w:tcPr>
            <w:gridSpan w:val="2"/>
            <w:tcW w:w="9070" w:type="dxa"/>
          </w:tcPr>
          <w:p>
            <w:pPr>
              <w:pStyle w:val="0"/>
            </w:pPr>
            <w:r>
              <w:rPr>
                <w:sz w:val="20"/>
              </w:rPr>
              <w:t xml:space="preserve">3. Сведения о лицензии на право пользования участком недр местного значения</w:t>
            </w:r>
          </w:p>
        </w:tc>
      </w:tr>
      <w:tr>
        <w:tc>
          <w:tcPr>
            <w:tcW w:w="6576" w:type="dxa"/>
          </w:tcPr>
          <w:p>
            <w:pPr>
              <w:pStyle w:val="0"/>
            </w:pPr>
            <w:r>
              <w:rPr>
                <w:sz w:val="20"/>
              </w:rPr>
              <w:t xml:space="preserve">Государственный регистрационный номер лицензии на пользование участком недр местного значения,</w:t>
            </w:r>
          </w:p>
        </w:tc>
        <w:tc>
          <w:tcPr>
            <w:tcW w:w="2494" w:type="dxa"/>
          </w:tcPr>
          <w:p>
            <w:pPr>
              <w:pStyle w:val="0"/>
            </w:pPr>
            <w:r>
              <w:rPr>
                <w:sz w:val="20"/>
              </w:rPr>
            </w:r>
          </w:p>
        </w:tc>
      </w:tr>
      <w:tr>
        <w:tc>
          <w:tcPr>
            <w:tcW w:w="6576" w:type="dxa"/>
          </w:tcPr>
          <w:p>
            <w:pPr>
              <w:pStyle w:val="0"/>
            </w:pPr>
            <w:r>
              <w:rPr>
                <w:sz w:val="20"/>
              </w:rPr>
              <w:t xml:space="preserve">Дата государственной регистрации лицензии на пользование участком недр местного значения</w:t>
            </w:r>
          </w:p>
        </w:tc>
        <w:tc>
          <w:tcPr>
            <w:tcW w:w="2494" w:type="dxa"/>
          </w:tcPr>
          <w:p>
            <w:pPr>
              <w:pStyle w:val="0"/>
            </w:pPr>
            <w:r>
              <w:rPr>
                <w:sz w:val="20"/>
              </w:rPr>
            </w:r>
          </w:p>
        </w:tc>
      </w:tr>
      <w:tr>
        <w:tc>
          <w:tcPr>
            <w:tcW w:w="6576" w:type="dxa"/>
          </w:tcPr>
          <w:p>
            <w:pPr>
              <w:pStyle w:val="0"/>
            </w:pPr>
            <w:r>
              <w:rPr>
                <w:sz w:val="20"/>
              </w:rPr>
              <w:t xml:space="preserve">4. Основание переоформления лицензии на пользование недрами в соответствии со </w:t>
            </w:r>
            <w:hyperlink w:history="0" r:id="rId152" w:tooltip="Закон РФ от 21.02.1992 N 2395-1 (ред. от 08.03.2026) &quot;О недрах&quot; (с изм. и доп., вступ. в силу с 01.07.2026) {КонсультантПлюс}">
              <w:r>
                <w:rPr>
                  <w:sz w:val="20"/>
                  <w:color w:val="0000ff"/>
                </w:rPr>
                <w:t xml:space="preserve">статьей 17.1</w:t>
              </w:r>
            </w:hyperlink>
            <w:r>
              <w:rPr>
                <w:sz w:val="20"/>
              </w:rPr>
              <w:t xml:space="preserve"> Закона Российской Федерации "О недрах"</w:t>
            </w:r>
          </w:p>
        </w:tc>
        <w:tc>
          <w:tcPr>
            <w:tcW w:w="2494" w:type="dxa"/>
          </w:tcPr>
          <w:p>
            <w:pPr>
              <w:pStyle w:val="0"/>
            </w:pPr>
            <w:r>
              <w:rPr>
                <w:sz w:val="20"/>
              </w:rPr>
            </w:r>
          </w:p>
        </w:tc>
      </w:tr>
      <w:tr>
        <w:tc>
          <w:tcPr>
            <w:tcW w:w="6576" w:type="dxa"/>
          </w:tcPr>
          <w:p>
            <w:pPr>
              <w:pStyle w:val="0"/>
            </w:pPr>
            <w:r>
              <w:rPr>
                <w:sz w:val="20"/>
              </w:rPr>
              <w:t xml:space="preserve">5. Реквизиты платежного поручения, подтверждающего факт уплаты государственной пошлины</w:t>
            </w:r>
          </w:p>
        </w:tc>
        <w:tc>
          <w:tcPr>
            <w:tcW w:w="2494" w:type="dxa"/>
          </w:tcPr>
          <w:p>
            <w:pPr>
              <w:pStyle w:val="0"/>
            </w:pPr>
            <w:r>
              <w:rPr>
                <w:sz w:val="20"/>
              </w:rPr>
            </w:r>
          </w:p>
        </w:tc>
      </w:tr>
      <w:tr>
        <w:tc>
          <w:tcPr>
            <w:tcW w:w="6576" w:type="dxa"/>
          </w:tcPr>
          <w:p>
            <w:pPr>
              <w:pStyle w:val="0"/>
            </w:pPr>
            <w:r>
              <w:rPr>
                <w:sz w:val="20"/>
              </w:rPr>
              <w:t xml:space="preserve">6. Согласие заявителя принять на себя в полном объеме выполнение условий пользования недрами, предусмотренных переоформляемой лицензией на пользование недрами, в том числе неисполненных пользователем недр</w:t>
            </w:r>
          </w:p>
        </w:tc>
        <w:tc>
          <w:tcPr>
            <w:tcW w:w="2494" w:type="dxa"/>
          </w:tcPr>
          <w:p>
            <w:pPr>
              <w:pStyle w:val="0"/>
            </w:pPr>
            <w:r>
              <w:rPr>
                <w:sz w:val="20"/>
              </w:rPr>
            </w:r>
          </w:p>
        </w:tc>
      </w:tr>
    </w:tbl>
    <w:p>
      <w:pPr>
        <w:pStyle w:val="0"/>
        <w:jc w:val="both"/>
      </w:pPr>
      <w:r>
        <w:rPr>
          <w:sz w:val="20"/>
        </w:rPr>
      </w:r>
    </w:p>
    <w:p>
      <w:pPr>
        <w:pStyle w:val="0"/>
        <w:ind w:firstLine="540"/>
        <w:jc w:val="both"/>
      </w:pPr>
      <w:r>
        <w:rPr>
          <w:sz w:val="20"/>
        </w:rPr>
        <w:t xml:space="preserve">Результат предоставления государственной услуги в виде уведомления об отказе в предоставлении государственной услуги прошу выдать (выбрать):</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8561"/>
      </w:tblGrid>
      <w:tr>
        <w:tc>
          <w:tcPr>
            <w:tcW w:w="454" w:type="dxa"/>
          </w:tcPr>
          <w:p>
            <w:pPr>
              <w:pStyle w:val="0"/>
            </w:pPr>
            <w:r>
              <w:rPr>
                <w:sz w:val="20"/>
              </w:rPr>
            </w:r>
          </w:p>
        </w:tc>
        <w:tc>
          <w:tcPr>
            <w:tcW w:w="8561" w:type="dxa"/>
          </w:tcPr>
          <w:p>
            <w:pPr>
              <w:pStyle w:val="0"/>
            </w:pPr>
            <w:r>
              <w:rPr>
                <w:sz w:val="20"/>
              </w:rPr>
              <w:t xml:space="preserve">направить на электронную почту: ___________________________________</w:t>
            </w:r>
          </w:p>
        </w:tc>
      </w:tr>
      <w:tr>
        <w:tc>
          <w:tcPr>
            <w:tcW w:w="454" w:type="dxa"/>
          </w:tcPr>
          <w:p>
            <w:pPr>
              <w:pStyle w:val="0"/>
            </w:pPr>
            <w:r>
              <w:rPr>
                <w:sz w:val="20"/>
              </w:rPr>
            </w:r>
          </w:p>
        </w:tc>
        <w:tc>
          <w:tcPr>
            <w:tcW w:w="8561" w:type="dxa"/>
          </w:tcPr>
          <w:p>
            <w:pPr>
              <w:pStyle w:val="0"/>
            </w:pPr>
            <w:r>
              <w:rPr>
                <w:sz w:val="20"/>
              </w:rPr>
              <w:t xml:space="preserve">выдать непосредственно в министерстве природных ресурсов и экологии Саратовской области</w:t>
            </w:r>
          </w:p>
        </w:tc>
      </w:tr>
    </w:tbl>
    <w:p>
      <w:pPr>
        <w:pStyle w:val="0"/>
        <w:jc w:val="both"/>
      </w:pPr>
      <w:r>
        <w:rPr>
          <w:sz w:val="20"/>
        </w:rPr>
      </w:r>
    </w:p>
    <w:p>
      <w:pPr>
        <w:pStyle w:val="1"/>
        <w:jc w:val="both"/>
      </w:pPr>
      <w:r>
        <w:rPr>
          <w:sz w:val="20"/>
        </w:rPr>
        <w:t xml:space="preserve">___________________________________________________________________</w:t>
      </w:r>
    </w:p>
    <w:p>
      <w:pPr>
        <w:pStyle w:val="1"/>
        <w:jc w:val="both"/>
      </w:pPr>
      <w:r>
        <w:rPr>
          <w:sz w:val="20"/>
        </w:rPr>
        <w:t xml:space="preserve"> Заявитель (должность (при наличии) /И.О. Фамилия/подпись, печать)</w:t>
      </w:r>
    </w:p>
    <w:p>
      <w:pPr>
        <w:pStyle w:val="0"/>
        <w:jc w:val="both"/>
      </w:pPr>
      <w:r>
        <w:rPr>
          <w:sz w:val="20"/>
        </w:rPr>
      </w:r>
    </w:p>
    <w:p>
      <w:pPr>
        <w:pStyle w:val="0"/>
        <w:jc w:val="both"/>
      </w:pPr>
      <w:r>
        <w:rPr>
          <w:sz w:val="20"/>
        </w:rPr>
      </w:r>
    </w:p>
    <w:p>
      <w:pPr>
        <w:pStyle w:val="0"/>
        <w:jc w:val="both"/>
      </w:pPr>
      <w:r>
        <w:rPr>
          <w:sz w:val="20"/>
        </w:rPr>
      </w:r>
    </w:p>
    <w:bookmarkStart w:id="948" w:name="P948"/>
    <w:bookmarkEnd w:id="948"/>
    <w:p>
      <w:pPr>
        <w:pStyle w:val="0"/>
        <w:outlineLvl w:val="3"/>
        <w:jc w:val="center"/>
      </w:pPr>
      <w:r>
        <w:rPr>
          <w:sz w:val="20"/>
        </w:rPr>
        <w:t xml:space="preserve">Образец платежного поручения</w:t>
      </w:r>
    </w:p>
    <w:p>
      <w:pPr>
        <w:pStyle w:val="0"/>
        <w:jc w:val="center"/>
      </w:pPr>
      <w:r>
        <w:rPr>
          <w:sz w:val="20"/>
        </w:rPr>
        <w:t xml:space="preserve">для внесения государственной пошлины за предоставление</w:t>
      </w:r>
    </w:p>
    <w:p>
      <w:pPr>
        <w:pStyle w:val="0"/>
        <w:jc w:val="center"/>
      </w:pPr>
      <w:r>
        <w:rPr>
          <w:sz w:val="20"/>
        </w:rPr>
        <w:t xml:space="preserve">государственной услуги к вариантам А1 - А4, Б1 - Б4, В1 - В4</w:t>
      </w:r>
    </w:p>
    <w:p>
      <w:pPr>
        <w:pStyle w:val="0"/>
        <w:jc w:val="both"/>
      </w:pPr>
      <w:r>
        <w:rPr>
          <w:sz w:val="20"/>
        </w:rPr>
      </w:r>
    </w:p>
    <w:p>
      <w:pPr>
        <w:pStyle w:val="0"/>
        <w:jc w:val="center"/>
      </w:pPr>
      <w:r>
        <w:rPr>
          <w:position w:val="-333"/>
        </w:rPr>
        <w:drawing>
          <wp:inline distT="0" distB="0" distL="0" distR="0">
            <wp:extent cx="5034280" cy="43675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3">
                      <a:extLst>
                        <a:ext uri="{28A0092B-C50C-407E-A947-70E740481C1C}">
                          <a14:useLocalDpi xmlns:a14="http://schemas.microsoft.com/office/drawing/2010/main" val="0"/>
                        </a:ext>
                      </a:extLst>
                    </a:blip>
                    <a:srcRect/>
                    <a:stretch>
                      <a:fillRect/>
                    </a:stretch>
                  </pic:blipFill>
                  <pic:spPr bwMode="auto">
                    <a:xfrm>
                      <a:off x="0" y="0"/>
                      <a:ext cx="5034280" cy="4367530"/>
                    </a:xfrm>
                    <a:prstGeom prst="rect">
                      <a:avLst/>
                    </a:prstGeom>
                    <a:noFill/>
                    <a:ln>
                      <a:noFill/>
                    </a:ln>
                  </pic:spPr>
                </pic:pic>
              </a:graphicData>
            </a:graphic>
          </wp:inline>
        </w:drawing>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министерства природных ресурсов и экологии Саратовской области от 17.06.2014 N 277</w:t>
            <w:br/>
            <w:t>(ред. от 16.07.2026)</w:t>
            <w:br/>
            <w:t>"Об утвер...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58&amp;n=121195&amp;dst=100029" TargetMode = "External"/><Relationship Id="rId9" Type="http://schemas.openxmlformats.org/officeDocument/2006/relationships/hyperlink" Target="https://login.consultant.ru/link/?req=doc&amp;base=RLAW358&amp;n=145361&amp;dst=100029" TargetMode = "External"/><Relationship Id="rId10" Type="http://schemas.openxmlformats.org/officeDocument/2006/relationships/hyperlink" Target="https://login.consultant.ru/link/?req=doc&amp;base=RLAW358&amp;n=87805&amp;dst=100005" TargetMode = "External"/><Relationship Id="rId11" Type="http://schemas.openxmlformats.org/officeDocument/2006/relationships/hyperlink" Target="https://login.consultant.ru/link/?req=doc&amp;base=RLAW358&amp;n=145362&amp;dst=100037" TargetMode = "External"/><Relationship Id="rId12" Type="http://schemas.openxmlformats.org/officeDocument/2006/relationships/hyperlink" Target="https://login.consultant.ru/link/?req=doc&amp;base=RLAW358&amp;n=145363&amp;dst=100025" TargetMode = "External"/><Relationship Id="rId13" Type="http://schemas.openxmlformats.org/officeDocument/2006/relationships/hyperlink" Target="https://login.consultant.ru/link/?req=doc&amp;base=RLAW358&amp;n=145364&amp;dst=100021" TargetMode = "External"/><Relationship Id="rId14" Type="http://schemas.openxmlformats.org/officeDocument/2006/relationships/hyperlink" Target="https://login.consultant.ru/link/?req=doc&amp;base=RLAW358&amp;n=121199&amp;dst=100021" TargetMode = "External"/><Relationship Id="rId15" Type="http://schemas.openxmlformats.org/officeDocument/2006/relationships/hyperlink" Target="https://login.consultant.ru/link/?req=doc&amp;base=RLAW358&amp;n=101131&amp;dst=100005" TargetMode = "External"/><Relationship Id="rId16" Type="http://schemas.openxmlformats.org/officeDocument/2006/relationships/hyperlink" Target="https://login.consultant.ru/link/?req=doc&amp;base=RLAW358&amp;n=145365&amp;dst=100026" TargetMode = "External"/><Relationship Id="rId17" Type="http://schemas.openxmlformats.org/officeDocument/2006/relationships/hyperlink" Target="https://login.consultant.ru/link/?req=doc&amp;base=RLAW358&amp;n=110420&amp;dst=100005" TargetMode = "External"/><Relationship Id="rId18" Type="http://schemas.openxmlformats.org/officeDocument/2006/relationships/hyperlink" Target="https://login.consultant.ru/link/?req=doc&amp;base=RLAW358&amp;n=121159&amp;dst=100321" TargetMode = "External"/><Relationship Id="rId19" Type="http://schemas.openxmlformats.org/officeDocument/2006/relationships/hyperlink" Target="https://login.consultant.ru/link/?req=doc&amp;base=RLAW358&amp;n=116548&amp;dst=100005" TargetMode = "External"/><Relationship Id="rId20" Type="http://schemas.openxmlformats.org/officeDocument/2006/relationships/hyperlink" Target="https://login.consultant.ru/link/?req=doc&amp;base=RLAW358&amp;n=121160&amp;dst=100271" TargetMode = "External"/><Relationship Id="rId21" Type="http://schemas.openxmlformats.org/officeDocument/2006/relationships/hyperlink" Target="https://login.consultant.ru/link/?req=doc&amp;base=RLAW358&amp;n=130797&amp;dst=100005" TargetMode = "External"/><Relationship Id="rId22" Type="http://schemas.openxmlformats.org/officeDocument/2006/relationships/hyperlink" Target="https://login.consultant.ru/link/?req=doc&amp;base=RLAW358&amp;n=132885&amp;dst=100005" TargetMode = "External"/><Relationship Id="rId23" Type="http://schemas.openxmlformats.org/officeDocument/2006/relationships/hyperlink" Target="https://login.consultant.ru/link/?req=doc&amp;base=RLAW358&amp;n=135762&amp;dst=100005" TargetMode = "External"/><Relationship Id="rId24" Type="http://schemas.openxmlformats.org/officeDocument/2006/relationships/hyperlink" Target="https://login.consultant.ru/link/?req=doc&amp;base=RLAW358&amp;n=140837&amp;dst=100051" TargetMode = "External"/><Relationship Id="rId25" Type="http://schemas.openxmlformats.org/officeDocument/2006/relationships/hyperlink" Target="https://login.consultant.ru/link/?req=doc&amp;base=RLAW358&amp;n=143016&amp;dst=100014" TargetMode = "External"/><Relationship Id="rId26" Type="http://schemas.openxmlformats.org/officeDocument/2006/relationships/hyperlink" Target="https://login.consultant.ru/link/?req=doc&amp;base=RLAW358&amp;n=148962&amp;dst=100005" TargetMode = "External"/><Relationship Id="rId27" Type="http://schemas.openxmlformats.org/officeDocument/2006/relationships/hyperlink" Target="https://login.consultant.ru/link/?req=doc&amp;base=RLAW358&amp;n=153594&amp;dst=100005" TargetMode = "External"/><Relationship Id="rId28" Type="http://schemas.openxmlformats.org/officeDocument/2006/relationships/hyperlink" Target="https://login.consultant.ru/link/?req=doc&amp;base=RLAW358&amp;n=167854&amp;dst=100005" TargetMode = "External"/><Relationship Id="rId29" Type="http://schemas.openxmlformats.org/officeDocument/2006/relationships/hyperlink" Target="https://login.consultant.ru/link/?req=doc&amp;base=RLAW358&amp;n=185558&amp;dst=100014" TargetMode = "External"/><Relationship Id="rId30" Type="http://schemas.openxmlformats.org/officeDocument/2006/relationships/hyperlink" Target="https://login.consultant.ru/link/?req=doc&amp;base=RLAW358&amp;n=187628&amp;dst=100054" TargetMode = "External"/><Relationship Id="rId31" Type="http://schemas.openxmlformats.org/officeDocument/2006/relationships/hyperlink" Target="https://login.consultant.ru/link/?req=doc&amp;base=RLAW358&amp;n=200010&amp;dst=100005" TargetMode = "External"/><Relationship Id="rId32" Type="http://schemas.openxmlformats.org/officeDocument/2006/relationships/hyperlink" Target="https://login.consultant.ru/link/?req=doc&amp;base=RLAW358&amp;n=66788" TargetMode = "External"/><Relationship Id="rId33" Type="http://schemas.openxmlformats.org/officeDocument/2006/relationships/hyperlink" Target="https://login.consultant.ru/link/?req=doc&amp;base=RLAW358&amp;n=199146&amp;dst=100116" TargetMode = "External"/><Relationship Id="rId34" Type="http://schemas.openxmlformats.org/officeDocument/2006/relationships/hyperlink" Target="https://login.consultant.ru/link/?req=doc&amp;base=RLAW358&amp;n=148962&amp;dst=100006" TargetMode = "External"/><Relationship Id="rId35" Type="http://schemas.openxmlformats.org/officeDocument/2006/relationships/hyperlink" Target="https://login.consultant.ru/link/?req=doc&amp;base=RLAW358&amp;n=64966" TargetMode = "External"/><Relationship Id="rId36" Type="http://schemas.openxmlformats.org/officeDocument/2006/relationships/hyperlink" Target="https://login.consultant.ru/link/?req=doc&amp;base=RLAW358&amp;n=38655" TargetMode = "External"/><Relationship Id="rId37" Type="http://schemas.openxmlformats.org/officeDocument/2006/relationships/hyperlink" Target="https://login.consultant.ru/link/?req=doc&amp;base=RLAW358&amp;n=40989" TargetMode = "External"/><Relationship Id="rId38" Type="http://schemas.openxmlformats.org/officeDocument/2006/relationships/hyperlink" Target="https://login.consultant.ru/link/?req=doc&amp;base=RLAW358&amp;n=45500" TargetMode = "External"/><Relationship Id="rId39" Type="http://schemas.openxmlformats.org/officeDocument/2006/relationships/hyperlink" Target="https://login.consultant.ru/link/?req=doc&amp;base=RLAW358&amp;n=46829" TargetMode = "External"/><Relationship Id="rId40" Type="http://schemas.openxmlformats.org/officeDocument/2006/relationships/hyperlink" Target="https://login.consultant.ru/link/?req=doc&amp;base=RLAW358&amp;n=53752" TargetMode = "External"/><Relationship Id="rId41" Type="http://schemas.openxmlformats.org/officeDocument/2006/relationships/hyperlink" Target="https://login.consultant.ru/link/?req=doc&amp;base=RLAW358&amp;n=57662" TargetMode = "External"/><Relationship Id="rId42" Type="http://schemas.openxmlformats.org/officeDocument/2006/relationships/hyperlink" Target="https://login.consultant.ru/link/?req=doc&amp;base=RLAW358&amp;n=60738" TargetMode = "External"/><Relationship Id="rId43" Type="http://schemas.openxmlformats.org/officeDocument/2006/relationships/hyperlink" Target="https://login.consultant.ru/link/?req=doc&amp;base=RLAW358&amp;n=63164" TargetMode = "External"/><Relationship Id="rId44" Type="http://schemas.openxmlformats.org/officeDocument/2006/relationships/hyperlink" Target="https://login.consultant.ru/link/?req=doc&amp;base=RLAW358&amp;n=65478" TargetMode = "External"/><Relationship Id="rId45" Type="http://schemas.openxmlformats.org/officeDocument/2006/relationships/hyperlink" Target="https://login.consultant.ru/link/?req=doc&amp;base=RLAW358&amp;n=64849" TargetMode = "External"/><Relationship Id="rId46" Type="http://schemas.openxmlformats.org/officeDocument/2006/relationships/hyperlink" Target="https://login.consultant.ru/link/?req=doc&amp;base=RLAW358&amp;n=101131&amp;dst=100006" TargetMode = "External"/><Relationship Id="rId47" Type="http://schemas.openxmlformats.org/officeDocument/2006/relationships/hyperlink" Target="https://login.consultant.ru/link/?req=doc&amp;base=RLAW358&amp;n=101131&amp;dst=100007" TargetMode = "External"/><Relationship Id="rId48" Type="http://schemas.openxmlformats.org/officeDocument/2006/relationships/hyperlink" Target="https://login.consultant.ru/link/?req=doc&amp;base=RLAW358&amp;n=200010&amp;dst=100005" TargetMode = "External"/><Relationship Id="rId49" Type="http://schemas.openxmlformats.org/officeDocument/2006/relationships/hyperlink" Target="https://login.consultant.ru/link/?req=doc&amp;base=LAW&amp;n=537946&amp;dst=28190" TargetMode = "External"/><Relationship Id="rId50" Type="http://schemas.openxmlformats.org/officeDocument/2006/relationships/hyperlink" Target="https://minforest.saratov.gov.ru/" TargetMode = "External"/><Relationship Id="rId51" Type="http://schemas.openxmlformats.org/officeDocument/2006/relationships/hyperlink" Target="https://www.gosuslugi.ru/" TargetMode = "External"/><Relationship Id="rId52" Type="http://schemas.openxmlformats.org/officeDocument/2006/relationships/hyperlink" Target="https://minforest.saratov.gov.ru/" TargetMode = "External"/><Relationship Id="rId53" Type="http://schemas.openxmlformats.org/officeDocument/2006/relationships/hyperlink" Target="https://www.gosuslugi.ru/" TargetMode = "External"/><Relationship Id="rId54" Type="http://schemas.openxmlformats.org/officeDocument/2006/relationships/hyperlink" Target="https://lk.rosnedra.gov.ru/subsoil/" TargetMode = "External"/><Relationship Id="rId55" Type="http://schemas.openxmlformats.org/officeDocument/2006/relationships/hyperlink" Target="https://login.consultant.ru/link/?req=doc&amp;base=RLAW358&amp;n=193548&amp;dst=100016" TargetMode = "External"/><Relationship Id="rId56" Type="http://schemas.openxmlformats.org/officeDocument/2006/relationships/hyperlink" Target="https://login.consultant.ru/link/?req=doc&amp;base=RLAW358&amp;n=195038&amp;dst=60" TargetMode = "External"/><Relationship Id="rId57" Type="http://schemas.openxmlformats.org/officeDocument/2006/relationships/hyperlink" Target="https://login.consultant.ru/link/?req=doc&amp;base=LAW&amp;n=523574" TargetMode = "External"/><Relationship Id="rId58" Type="http://schemas.openxmlformats.org/officeDocument/2006/relationships/hyperlink" Target="https://login.consultant.ru/link/?req=doc&amp;base=RLAW358&amp;n=193548&amp;dst=100049" TargetMode = "External"/><Relationship Id="rId59" Type="http://schemas.openxmlformats.org/officeDocument/2006/relationships/hyperlink" Target="https://login.consultant.ru/link/?req=doc&amp;base=RLAW358&amp;n=195038" TargetMode = "External"/><Relationship Id="rId60" Type="http://schemas.openxmlformats.org/officeDocument/2006/relationships/hyperlink" Target="https://login.consultant.ru/link/?req=doc&amp;base=RLAW358&amp;n=195038&amp;dst=55" TargetMode = "External"/><Relationship Id="rId61" Type="http://schemas.openxmlformats.org/officeDocument/2006/relationships/hyperlink" Target="https://login.consultant.ru/link/?req=doc&amp;base=LAW&amp;n=523574" TargetMode = "External"/><Relationship Id="rId62" Type="http://schemas.openxmlformats.org/officeDocument/2006/relationships/hyperlink" Target="https://login.consultant.ru/link/?req=doc&amp;base=LAW&amp;n=536594" TargetMode = "External"/><Relationship Id="rId63" Type="http://schemas.openxmlformats.org/officeDocument/2006/relationships/hyperlink" Target="https://login.consultant.ru/link/?req=doc&amp;base=RLAW358&amp;n=195038" TargetMode = "External"/><Relationship Id="rId64" Type="http://schemas.openxmlformats.org/officeDocument/2006/relationships/hyperlink" Target="https://login.consultant.ru/link/?req=doc&amp;base=LAW&amp;n=370212" TargetMode = "External"/><Relationship Id="rId65" Type="http://schemas.openxmlformats.org/officeDocument/2006/relationships/hyperlink" Target="https://login.consultant.ru/link/?req=doc&amp;base=LAW&amp;n=523574&amp;dst=513" TargetMode = "External"/><Relationship Id="rId66" Type="http://schemas.openxmlformats.org/officeDocument/2006/relationships/hyperlink" Target="https://login.consultant.ru/link/?req=doc&amp;base=RLAW358&amp;n=193548&amp;dst=100093" TargetMode = "External"/><Relationship Id="rId67" Type="http://schemas.openxmlformats.org/officeDocument/2006/relationships/hyperlink" Target="https://login.consultant.ru/link/?req=doc&amp;base=LAW&amp;n=523235&amp;dst=364" TargetMode = "External"/><Relationship Id="rId68" Type="http://schemas.openxmlformats.org/officeDocument/2006/relationships/hyperlink" Target="https://login.consultant.ru/link/?req=doc&amp;base=RLAW358&amp;n=195038" TargetMode = "External"/><Relationship Id="rId69" Type="http://schemas.openxmlformats.org/officeDocument/2006/relationships/hyperlink" Target="https://login.consultant.ru/link/?req=doc&amp;base=RLAW358&amp;n=195038" TargetMode = "External"/><Relationship Id="rId70" Type="http://schemas.openxmlformats.org/officeDocument/2006/relationships/hyperlink" Target="https://login.consultant.ru/link/?req=doc&amp;base=LAW&amp;n=523574" TargetMode = "External"/><Relationship Id="rId71" Type="http://schemas.openxmlformats.org/officeDocument/2006/relationships/hyperlink" Target="https://login.consultant.ru/link/?req=doc&amp;base=LAW&amp;n=511602" TargetMode = "External"/><Relationship Id="rId72" Type="http://schemas.openxmlformats.org/officeDocument/2006/relationships/hyperlink" Target="https://login.consultant.ru/link/?req=doc&amp;base=LAW&amp;n=536617&amp;dst=100902" TargetMode = "External"/><Relationship Id="rId73" Type="http://schemas.openxmlformats.org/officeDocument/2006/relationships/hyperlink" Target="https://login.consultant.ru/link/?req=doc&amp;base=LAW&amp;n=523574&amp;dst=100059" TargetMode = "External"/><Relationship Id="rId74" Type="http://schemas.openxmlformats.org/officeDocument/2006/relationships/hyperlink" Target="https://login.consultant.ru/link/?req=doc&amp;base=LAW&amp;n=523574&amp;dst=100059" TargetMode = "External"/><Relationship Id="rId75" Type="http://schemas.openxmlformats.org/officeDocument/2006/relationships/hyperlink" Target="https://login.consultant.ru/link/?req=doc&amp;base=LAW&amp;n=536617&amp;dst=10878" TargetMode = "External"/><Relationship Id="rId76" Type="http://schemas.openxmlformats.org/officeDocument/2006/relationships/hyperlink" Target="https://login.consultant.ru/link/?req=doc&amp;base=RLAW358&amp;n=193548&amp;dst=100095" TargetMode = "External"/><Relationship Id="rId77" Type="http://schemas.openxmlformats.org/officeDocument/2006/relationships/hyperlink" Target="https://login.consultant.ru/link/?req=doc&amp;base=RLAW358&amp;n=193548&amp;dst=100097" TargetMode = "External"/><Relationship Id="rId78" Type="http://schemas.openxmlformats.org/officeDocument/2006/relationships/hyperlink" Target="https://login.consultant.ru/link/?req=doc&amp;base=RLAW358&amp;n=193548&amp;dst=100103" TargetMode = "External"/><Relationship Id="rId79" Type="http://schemas.openxmlformats.org/officeDocument/2006/relationships/hyperlink" Target="https://login.consultant.ru/link/?req=doc&amp;base=RLAW358&amp;n=193548&amp;dst=100104" TargetMode = "External"/><Relationship Id="rId80" Type="http://schemas.openxmlformats.org/officeDocument/2006/relationships/hyperlink" Target="https://login.consultant.ru/link/?req=doc&amp;base=LAW&amp;n=536617&amp;dst=10878" TargetMode = "External"/><Relationship Id="rId81" Type="http://schemas.openxmlformats.org/officeDocument/2006/relationships/hyperlink" Target="https://login.consultant.ru/link/?req=doc&amp;base=RLAW358&amp;n=193548&amp;dst=100215" TargetMode = "External"/><Relationship Id="rId82" Type="http://schemas.openxmlformats.org/officeDocument/2006/relationships/hyperlink" Target="https://login.consultant.ru/link/?req=doc&amp;base=RLAW358&amp;n=193548&amp;dst=100216" TargetMode = "External"/><Relationship Id="rId83" Type="http://schemas.openxmlformats.org/officeDocument/2006/relationships/hyperlink" Target="https://login.consultant.ru/link/?req=doc&amp;base=RLAW358&amp;n=193548&amp;dst=100218" TargetMode = "External"/><Relationship Id="rId84" Type="http://schemas.openxmlformats.org/officeDocument/2006/relationships/hyperlink" Target="https://login.consultant.ru/link/?req=doc&amp;base=LAW&amp;n=536617&amp;dst=10878" TargetMode = "External"/><Relationship Id="rId85" Type="http://schemas.openxmlformats.org/officeDocument/2006/relationships/hyperlink" Target="https://login.consultant.ru/link/?req=doc&amp;base=RLAW358&amp;n=193548&amp;dst=100100" TargetMode = "External"/><Relationship Id="rId86" Type="http://schemas.openxmlformats.org/officeDocument/2006/relationships/hyperlink" Target="https://login.consultant.ru/link/?req=doc&amp;base=LAW&amp;n=536617&amp;dst=10878" TargetMode = "External"/><Relationship Id="rId87" Type="http://schemas.openxmlformats.org/officeDocument/2006/relationships/hyperlink" Target="https://login.consultant.ru/link/?req=doc&amp;base=RLAW358&amp;n=193548&amp;dst=100217" TargetMode = "External"/><Relationship Id="rId88" Type="http://schemas.openxmlformats.org/officeDocument/2006/relationships/hyperlink" Target="https://login.consultant.ru/link/?req=doc&amp;base=LAW&amp;n=536617&amp;dst=10878" TargetMode = "External"/><Relationship Id="rId89" Type="http://schemas.openxmlformats.org/officeDocument/2006/relationships/hyperlink" Target="https://login.consultant.ru/link/?req=doc&amp;base=RLAW358&amp;n=193548&amp;dst=100213" TargetMode = "External"/><Relationship Id="rId90" Type="http://schemas.openxmlformats.org/officeDocument/2006/relationships/hyperlink" Target="https://login.consultant.ru/link/?req=doc&amp;base=RLAW358&amp;n=193548&amp;dst=100219" TargetMode = "External"/><Relationship Id="rId91" Type="http://schemas.openxmlformats.org/officeDocument/2006/relationships/hyperlink" Target="https://login.consultant.ru/link/?req=doc&amp;base=RLAW358&amp;n=193548&amp;dst=100213" TargetMode = "External"/><Relationship Id="rId92" Type="http://schemas.openxmlformats.org/officeDocument/2006/relationships/hyperlink" Target="https://login.consultant.ru/link/?req=doc&amp;base=RLAW358&amp;n=193548&amp;dst=100219" TargetMode = "External"/><Relationship Id="rId93" Type="http://schemas.openxmlformats.org/officeDocument/2006/relationships/hyperlink" Target="https://login.consultant.ru/link/?req=doc&amp;base=RLAW358&amp;n=193548&amp;dst=100096" TargetMode = "External"/><Relationship Id="rId94" Type="http://schemas.openxmlformats.org/officeDocument/2006/relationships/hyperlink" Target="https://login.consultant.ru/link/?req=doc&amp;base=RLAW358&amp;n=193548&amp;dst=100102" TargetMode = "External"/><Relationship Id="rId95" Type="http://schemas.openxmlformats.org/officeDocument/2006/relationships/hyperlink" Target="https://login.consultant.ru/link/?req=doc&amp;base=RLAW358&amp;n=193548&amp;dst=100096" TargetMode = "External"/><Relationship Id="rId96" Type="http://schemas.openxmlformats.org/officeDocument/2006/relationships/hyperlink" Target="https://login.consultant.ru/link/?req=doc&amp;base=RLAW358&amp;n=193548&amp;dst=100102" TargetMode = "External"/><Relationship Id="rId97" Type="http://schemas.openxmlformats.org/officeDocument/2006/relationships/hyperlink" Target="https://login.consultant.ru/link/?req=doc&amp;base=LAW&amp;n=528379" TargetMode = "External"/><Relationship Id="rId98" Type="http://schemas.openxmlformats.org/officeDocument/2006/relationships/hyperlink" Target="https://login.consultant.ru/link/?req=doc&amp;base=RLAW358&amp;n=193548&amp;dst=100213" TargetMode = "External"/><Relationship Id="rId99" Type="http://schemas.openxmlformats.org/officeDocument/2006/relationships/hyperlink" Target="https://login.consultant.ru/link/?req=doc&amp;base=RLAW358&amp;n=193548&amp;dst=100219" TargetMode = "External"/><Relationship Id="rId100" Type="http://schemas.openxmlformats.org/officeDocument/2006/relationships/hyperlink" Target="https://login.consultant.ru/link/?req=doc&amp;base=RLAW358&amp;n=193548&amp;dst=100172" TargetMode = "External"/><Relationship Id="rId101" Type="http://schemas.openxmlformats.org/officeDocument/2006/relationships/hyperlink" Target="https://login.consultant.ru/link/?req=doc&amp;base=RLAW358&amp;n=193548" TargetMode = "External"/><Relationship Id="rId102" Type="http://schemas.openxmlformats.org/officeDocument/2006/relationships/hyperlink" Target="https://login.consultant.ru/link/?req=doc&amp;base=RLAW358&amp;n=193548&amp;dst=100219" TargetMode = "External"/><Relationship Id="rId103" Type="http://schemas.openxmlformats.org/officeDocument/2006/relationships/hyperlink" Target="https://login.consultant.ru/link/?req=doc&amp;base=RLAW358&amp;n=193548&amp;dst=100210" TargetMode = "External"/><Relationship Id="rId104" Type="http://schemas.openxmlformats.org/officeDocument/2006/relationships/hyperlink" Target="https://login.consultant.ru/link/?req=doc&amp;base=RLAW358&amp;n=193548&amp;dst=100098" TargetMode = "External"/><Relationship Id="rId105" Type="http://schemas.openxmlformats.org/officeDocument/2006/relationships/hyperlink" Target="https://login.consultant.ru/link/?req=doc&amp;base=RLAW358&amp;n=193548&amp;dst=100099" TargetMode = "External"/><Relationship Id="rId106" Type="http://schemas.openxmlformats.org/officeDocument/2006/relationships/hyperlink" Target="https://login.consultant.ru/link/?req=doc&amp;base=RLAW358&amp;n=193548&amp;dst=100215" TargetMode = "External"/><Relationship Id="rId107" Type="http://schemas.openxmlformats.org/officeDocument/2006/relationships/hyperlink" Target="https://login.consultant.ru/link/?req=doc&amp;base=RLAW358&amp;n=193548&amp;dst=100219" TargetMode = "External"/><Relationship Id="rId108" Type="http://schemas.openxmlformats.org/officeDocument/2006/relationships/hyperlink" Target="https://login.consultant.ru/link/?req=doc&amp;base=LAW&amp;n=523574&amp;dst=1040" TargetMode = "External"/><Relationship Id="rId109" Type="http://schemas.openxmlformats.org/officeDocument/2006/relationships/hyperlink" Target="https://login.consultant.ru/link/?req=doc&amp;base=LAW&amp;n=523574&amp;dst=692" TargetMode = "External"/><Relationship Id="rId110" Type="http://schemas.openxmlformats.org/officeDocument/2006/relationships/hyperlink" Target="https://login.consultant.ru/link/?req=doc&amp;base=RLAW358&amp;n=193548&amp;dst=100215" TargetMode = "External"/><Relationship Id="rId111" Type="http://schemas.openxmlformats.org/officeDocument/2006/relationships/hyperlink" Target="https://login.consultant.ru/link/?req=doc&amp;base=RLAW358&amp;n=193548&amp;dst=100219" TargetMode = "External"/><Relationship Id="rId112" Type="http://schemas.openxmlformats.org/officeDocument/2006/relationships/hyperlink" Target="https://login.consultant.ru/link/?req=doc&amp;base=LAW&amp;n=536617&amp;dst=10878" TargetMode = "External"/><Relationship Id="rId113" Type="http://schemas.openxmlformats.org/officeDocument/2006/relationships/hyperlink" Target="https://login.consultant.ru/link/?req=doc&amp;base=LAW&amp;n=536617&amp;dst=10878" TargetMode = "External"/><Relationship Id="rId114" Type="http://schemas.openxmlformats.org/officeDocument/2006/relationships/hyperlink" Target="https://login.consultant.ru/link/?req=doc&amp;base=RLAW358&amp;n=193548&amp;dst=100100" TargetMode = "External"/><Relationship Id="rId115" Type="http://schemas.openxmlformats.org/officeDocument/2006/relationships/hyperlink" Target="https://login.consultant.ru/link/?req=doc&amp;base=RLAW358&amp;n=193548&amp;dst=100210" TargetMode = "External"/><Relationship Id="rId116" Type="http://schemas.openxmlformats.org/officeDocument/2006/relationships/hyperlink" Target="https://login.consultant.ru/link/?req=doc&amp;base=RLAW358&amp;n=193548&amp;dst=100100" TargetMode = "External"/><Relationship Id="rId117" Type="http://schemas.openxmlformats.org/officeDocument/2006/relationships/hyperlink" Target="https://login.consultant.ru/link/?req=doc&amp;base=RLAW358&amp;n=193548&amp;dst=100101" TargetMode = "External"/><Relationship Id="rId118" Type="http://schemas.openxmlformats.org/officeDocument/2006/relationships/hyperlink" Target="https://login.consultant.ru/link/?req=doc&amp;base=RLAW358&amp;n=193548&amp;dst=100217" TargetMode = "External"/><Relationship Id="rId119" Type="http://schemas.openxmlformats.org/officeDocument/2006/relationships/hyperlink" Target="https://login.consultant.ru/link/?req=doc&amp;base=RLAW358&amp;n=193548&amp;dst=100218" TargetMode = "External"/><Relationship Id="rId120" Type="http://schemas.openxmlformats.org/officeDocument/2006/relationships/hyperlink" Target="https://login.consultant.ru/link/?req=doc&amp;base=RLAW358&amp;n=193548&amp;dst=100217" TargetMode = "External"/><Relationship Id="rId121" Type="http://schemas.openxmlformats.org/officeDocument/2006/relationships/hyperlink" Target="https://login.consultant.ru/link/?req=doc&amp;base=RLAW358&amp;n=193548&amp;dst=100218" TargetMode = "External"/><Relationship Id="rId122" Type="http://schemas.openxmlformats.org/officeDocument/2006/relationships/hyperlink" Target="https://login.consultant.ru/link/?req=doc&amp;base=RLAW358&amp;n=193548&amp;dst=100101" TargetMode = "External"/><Relationship Id="rId123" Type="http://schemas.openxmlformats.org/officeDocument/2006/relationships/hyperlink" Target="https://login.consultant.ru/link/?req=doc&amp;base=RLAW358&amp;n=193548&amp;dst=100219" TargetMode = "External"/><Relationship Id="rId124" Type="http://schemas.openxmlformats.org/officeDocument/2006/relationships/hyperlink" Target="https://login.consultant.ru/link/?req=doc&amp;base=RLAW358&amp;n=193548&amp;dst=100219" TargetMode = "External"/><Relationship Id="rId125" Type="http://schemas.openxmlformats.org/officeDocument/2006/relationships/hyperlink" Target="https://login.consultant.ru/link/?req=doc&amp;base=RLAW358&amp;n=193548&amp;dst=100219" TargetMode = "External"/><Relationship Id="rId126" Type="http://schemas.openxmlformats.org/officeDocument/2006/relationships/hyperlink" Target="https://login.consultant.ru/link/?req=doc&amp;base=LAW&amp;n=529676" TargetMode = "External"/><Relationship Id="rId127" Type="http://schemas.openxmlformats.org/officeDocument/2006/relationships/hyperlink" Target="https://login.consultant.ru/link/?req=doc&amp;base=RLAW358&amp;n=193548&amp;dst=100103" TargetMode = "External"/><Relationship Id="rId128" Type="http://schemas.openxmlformats.org/officeDocument/2006/relationships/hyperlink" Target="https://login.consultant.ru/link/?req=doc&amp;base=LAW&amp;n=370212" TargetMode = "External"/><Relationship Id="rId129" Type="http://schemas.openxmlformats.org/officeDocument/2006/relationships/hyperlink" Target="https://login.consultant.ru/link/?req=doc&amp;base=RLAW358&amp;n=193548&amp;dst=100211" TargetMode = "External"/><Relationship Id="rId130" Type="http://schemas.openxmlformats.org/officeDocument/2006/relationships/hyperlink" Target="https://login.consultant.ru/link/?req=doc&amp;base=LAW&amp;n=370212&amp;dst=100149" TargetMode = "External"/><Relationship Id="rId131" Type="http://schemas.openxmlformats.org/officeDocument/2006/relationships/hyperlink" Target="https://login.consultant.ru/link/?req=doc&amp;base=RLAW358&amp;n=193548&amp;dst=100104" TargetMode = "External"/><Relationship Id="rId132" Type="http://schemas.openxmlformats.org/officeDocument/2006/relationships/hyperlink" Target="https://login.consultant.ru/link/?req=doc&amp;base=LAW&amp;n=508812" TargetMode = "External"/><Relationship Id="rId133" Type="http://schemas.openxmlformats.org/officeDocument/2006/relationships/hyperlink" Target="https://login.consultant.ru/link/?req=doc&amp;base=LAW&amp;n=483052" TargetMode = "External"/><Relationship Id="rId134" Type="http://schemas.openxmlformats.org/officeDocument/2006/relationships/hyperlink" Target="https://login.consultant.ru/link/?req=doc&amp;base=RLAW358&amp;n=193548&amp;dst=100016" TargetMode = "External"/><Relationship Id="rId135" Type="http://schemas.openxmlformats.org/officeDocument/2006/relationships/hyperlink" Target="https://login.consultant.ru/link/?req=doc&amp;base=LAW&amp;n=413430&amp;dst=100079" TargetMode = "External"/><Relationship Id="rId136" Type="http://schemas.openxmlformats.org/officeDocument/2006/relationships/hyperlink" Target="https://login.consultant.ru/link/?req=doc&amp;base=RLAW358&amp;n=193548&amp;dst=100049" TargetMode = "External"/><Relationship Id="rId137" Type="http://schemas.openxmlformats.org/officeDocument/2006/relationships/hyperlink" Target="https://login.consultant.ru/link/?req=doc&amp;base=LAW&amp;n=523574&amp;dst=605" TargetMode = "External"/><Relationship Id="rId138" Type="http://schemas.openxmlformats.org/officeDocument/2006/relationships/hyperlink" Target="https://login.consultant.ru/link/?req=doc&amp;base=LAW&amp;n=523574&amp;dst=621" TargetMode = "External"/><Relationship Id="rId139" Type="http://schemas.openxmlformats.org/officeDocument/2006/relationships/hyperlink" Target="https://login.consultant.ru/link/?req=doc&amp;base=LAW&amp;n=523574&amp;dst=1167" TargetMode = "External"/><Relationship Id="rId140" Type="http://schemas.openxmlformats.org/officeDocument/2006/relationships/hyperlink" Target="https://login.consultant.ru/link/?req=doc&amp;base=LAW&amp;n=523574&amp;dst=1014" TargetMode = "External"/><Relationship Id="rId141" Type="http://schemas.openxmlformats.org/officeDocument/2006/relationships/hyperlink" Target="https://login.consultant.ru/link/?req=doc&amp;base=LAW&amp;n=536594" TargetMode = "External"/><Relationship Id="rId142" Type="http://schemas.openxmlformats.org/officeDocument/2006/relationships/hyperlink" Target="https://login.consultant.ru/link/?req=doc&amp;base=LAW&amp;n=523574&amp;dst=647" TargetMode = "External"/><Relationship Id="rId143" Type="http://schemas.openxmlformats.org/officeDocument/2006/relationships/hyperlink" Target="https://login.consultant.ru/link/?req=doc&amp;base=LAW&amp;n=370212" TargetMode = "External"/><Relationship Id="rId144" Type="http://schemas.openxmlformats.org/officeDocument/2006/relationships/hyperlink" Target="https://login.consultant.ru/link/?req=doc&amp;base=LAW&amp;n=523574&amp;dst=513" TargetMode = "External"/><Relationship Id="rId145" Type="http://schemas.openxmlformats.org/officeDocument/2006/relationships/hyperlink" Target="https://login.consultant.ru/link/?req=doc&amp;base=RLAW358&amp;n=193548&amp;dst=100093" TargetMode = "External"/><Relationship Id="rId146" Type="http://schemas.openxmlformats.org/officeDocument/2006/relationships/hyperlink" Target="https://login.consultant.ru/link/?req=doc&amp;base=RLAW358&amp;n=193548&amp;dst=100108" TargetMode = "External"/><Relationship Id="rId147" Type="http://schemas.openxmlformats.org/officeDocument/2006/relationships/hyperlink" Target="https://login.consultant.ru/link/?req=doc&amp;base=RLAW358&amp;n=193548&amp;dst=100176" TargetMode = "External"/><Relationship Id="rId148" Type="http://schemas.openxmlformats.org/officeDocument/2006/relationships/hyperlink" Target="https://login.consultant.ru/link/?req=doc&amp;base=RLAW358&amp;n=193548&amp;dst=100187" TargetMode = "External"/><Relationship Id="rId149" Type="http://schemas.openxmlformats.org/officeDocument/2006/relationships/hyperlink" Target="https://login.consultant.ru/link/?req=doc&amp;base=RLAW358&amp;n=193548&amp;dst=100005" TargetMode = "External"/><Relationship Id="rId150" Type="http://schemas.openxmlformats.org/officeDocument/2006/relationships/hyperlink" Target="https://login.consultant.ru/link/?req=doc&amp;base=RLAW358&amp;n=193548&amp;dst=100308" TargetMode = "External"/><Relationship Id="rId151" Type="http://schemas.openxmlformats.org/officeDocument/2006/relationships/hyperlink" Target="https://login.consultant.ru/link/?req=doc&amp;base=RLAW358&amp;n=193548&amp;dst=100051" TargetMode = "External"/><Relationship Id="rId152" Type="http://schemas.openxmlformats.org/officeDocument/2006/relationships/hyperlink" Target="https://login.consultant.ru/link/?req=doc&amp;base=LAW&amp;n=523574&amp;dst=604" TargetMode = "External"/><Relationship Id="rId153" Type="http://schemas.openxmlformats.org/officeDocument/2006/relationships/image" Target="media/image2.png"/></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природных ресурсов и экологии Саратовской области от 17.06.2014 N 277
(ред. от 16.07.2026)
"Об утверждении административного регламента по предоставлению государственной услуги"
(вместе с "Административным регламентом министерства природных ресурсов и экологии Саратовской области по предоставлению государственной услуги "Оформление, государственная регистрация и выдача лицензий на пользование недрами, внесение изменений в лицензии на пользование недрами, переоформление лицензий на пользо</dc:title>
  <dcterms:created xsi:type="dcterms:W3CDTF">2026-08-03T12:07:46Z</dcterms:created>
</cp:coreProperties>
</file>