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38"/>
              </w:rPr>
              <w:t xml:space="preserve">Приказ министерства природных ресурсов и экологии Саратовской области от 17.06.2014 N 280</w:t>
              <w:br/>
              <w:t xml:space="preserve">(ред. от 08.05.2026)</w:t>
              <w:br/>
              <w:t xml:space="preserve">"Об утверждении административного регламента по предоставлению государственной услуги"</w:t>
              <w:br/>
              <w:t xml:space="preserve">(вместе с "Административным регламентом министерства природных ресурсов и экологии Саратовской области по предоставлению государственной услуги "Выдача разрешения на ввод в эксплуатацию объекта капитального строительства, построенного, реконструированного в границах особо охраняемой природной территории регионального значения, находящейся в ведении министерства природных ресурсов и экологии области, в соответствии с разрешением на строительство, выданным министерством природных ресурсов и экологии области (за исключением населенных пунктов, указанных в статье 3.1 Федерального закона "Об особо охраняемых природных территориях")")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03.08.2026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ПРИРОДНЫХ РЕСУРСОВ И ЭКОЛОГИИ</w:t>
      </w:r>
    </w:p>
    <w:p>
      <w:pPr>
        <w:pStyle w:val="2"/>
        <w:jc w:val="center"/>
      </w:pPr>
      <w:r>
        <w:rPr>
          <w:sz w:val="20"/>
        </w:rPr>
        <w:t xml:space="preserve">САРАТОВСКОЙ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17 июня 2014 г. N 280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АДМИНИСТРАТИВНОГО РЕГЛАМЕНТА</w:t>
      </w:r>
    </w:p>
    <w:p>
      <w:pPr>
        <w:pStyle w:val="2"/>
        <w:jc w:val="center"/>
      </w:pPr>
      <w:r>
        <w:rPr>
          <w:sz w:val="20"/>
        </w:rPr>
        <w:t xml:space="preserve">ПО ПРЕДОСТАВЛЕНИЮ ГОСУДАРСТВЕННОЙ УСЛУГИ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министерства природных ресурсов и экологии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Саратовской области от 20.10.2014 </w:t>
            </w:r>
            <w:hyperlink w:history="0" r:id="rId8" w:tooltip="Приказ министерства природных ресурсов и экологии Саратовской области от 20.10.2014 N 439 (ред. от 05.06.2019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439</w:t>
              </w:r>
            </w:hyperlink>
            <w:r>
              <w:rPr>
                <w:sz w:val="20"/>
                <w:color w:val="392c69"/>
              </w:rPr>
              <w:t xml:space="preserve">, от 02.04.2015 </w:t>
            </w:r>
            <w:hyperlink w:history="0" r:id="rId9" w:tooltip="Приказ министерства природных ресурсов и экологии Саратовской области от 02.04.2015 N 137 (ред. от 03.12.2021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137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17.08.2015 </w:t>
            </w:r>
            <w:hyperlink w:history="0" r:id="rId10" w:tooltip="Приказ министерства природных ресурсов и экологии Саратовской области от 17.08.2015 N 380 (ред. от 03.12.2021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380</w:t>
              </w:r>
            </w:hyperlink>
            <w:r>
              <w:rPr>
                <w:sz w:val="20"/>
                <w:color w:val="392c69"/>
              </w:rPr>
              <w:t xml:space="preserve">, от 19.10.2015 </w:t>
            </w:r>
            <w:hyperlink w:history="0" r:id="rId11" w:tooltip="Приказ министерства природных ресурсов и экологии Саратовской области от 19.10.2015 N 479 (ред. от 03.12.2021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479</w:t>
              </w:r>
            </w:hyperlink>
            <w:r>
              <w:rPr>
                <w:sz w:val="20"/>
                <w:color w:val="392c69"/>
              </w:rPr>
              <w:t xml:space="preserve">, от 08.12.2015 </w:t>
            </w:r>
            <w:hyperlink w:history="0" r:id="rId12" w:tooltip="Приказ министерства природных ресурсов и экологии Саратовской области от 08.12.2015 N 567 (ред. от 03.12.2021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567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14.12.2015 </w:t>
            </w:r>
            <w:hyperlink w:history="0" r:id="rId13" w:tooltip="Приказ министерства природных ресурсов и экологии Саратовской области от 14.12.2015 N 582 (ред. от 05.06.2019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582</w:t>
              </w:r>
            </w:hyperlink>
            <w:r>
              <w:rPr>
                <w:sz w:val="20"/>
                <w:color w:val="392c69"/>
              </w:rPr>
              <w:t xml:space="preserve">, от 07.10.2016 </w:t>
            </w:r>
            <w:hyperlink w:history="0" r:id="rId14" w:tooltip="Приказ министерства природных ресурсов и экологии Саратовской области от 07.10.2016 N 732 &quot;О внесении изменений в приказ министерства природных ресурсов и экологии Саратовской области от 17 июня 2014 года N 280&quot; {КонсультантПлюс}">
              <w:r>
                <w:rPr>
                  <w:sz w:val="20"/>
                  <w:color w:val="0000ff"/>
                </w:rPr>
                <w:t xml:space="preserve">N 732</w:t>
              </w:r>
            </w:hyperlink>
            <w:r>
              <w:rPr>
                <w:sz w:val="20"/>
                <w:color w:val="392c69"/>
              </w:rPr>
              <w:t xml:space="preserve">, от 30.05.2017 </w:t>
            </w:r>
            <w:hyperlink w:history="0" r:id="rId15" w:tooltip="Приказ министерства природных ресурсов и экологии Саратовской области от 30.05.2017 N 411 &quot;О внесении изменений в приказ министерства природных ресурсов и экологии Саратовской области от 17 июня 2014 года N 280&quot; {КонсультантПлюс}">
              <w:r>
                <w:rPr>
                  <w:sz w:val="20"/>
                  <w:color w:val="0000ff"/>
                </w:rPr>
                <w:t xml:space="preserve">N 411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29.01.2018 </w:t>
            </w:r>
            <w:hyperlink w:history="0" r:id="rId16" w:tooltip="Приказ министерства природных ресурсов и экологии Саратовской области от 29.01.2018 N 37 &quot;О внесении изменений в приказ министерства природных ресурсов и экологии Саратовской области от 17 июня 2014 года N 280&quot; {КонсультантПлюс}">
              <w:r>
                <w:rPr>
                  <w:sz w:val="20"/>
                  <w:color w:val="0000ff"/>
                </w:rPr>
                <w:t xml:space="preserve">N 37</w:t>
              </w:r>
            </w:hyperlink>
            <w:r>
              <w:rPr>
                <w:sz w:val="20"/>
                <w:color w:val="392c69"/>
              </w:rPr>
              <w:t xml:space="preserve">, от 05.06.2018 </w:t>
            </w:r>
            <w:hyperlink w:history="0" r:id="rId17" w:tooltip="Приказ министерства природных ресурсов и экологии Саратовской области от 05.06.2018 N 365 (ред. от 05.06.2019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365</w:t>
              </w:r>
            </w:hyperlink>
            <w:r>
              <w:rPr>
                <w:sz w:val="20"/>
                <w:color w:val="392c69"/>
              </w:rPr>
              <w:t xml:space="preserve">, от 24.01.2019 </w:t>
            </w:r>
            <w:hyperlink w:history="0" r:id="rId18" w:tooltip="Приказ министерства природных ресурсов и экологии Саратовской области от 24.01.2019 N 70 (ред. от 05.06.2019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70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24.04.2019 </w:t>
            </w:r>
            <w:hyperlink w:history="0" r:id="rId19" w:tooltip="Приказ министерства природных ресурсов и экологии Саратовской области от 24.04.2019 N 309 &quot;О внесении изменений в приказ министерства природных ресурсов и экологии Саратовской области от 17 июня 2014 года N 280&quot; {КонсультантПлюс}">
              <w:r>
                <w:rPr>
                  <w:sz w:val="20"/>
                  <w:color w:val="0000ff"/>
                </w:rPr>
                <w:t xml:space="preserve">N 309</w:t>
              </w:r>
            </w:hyperlink>
            <w:r>
              <w:rPr>
                <w:sz w:val="20"/>
                <w:color w:val="392c69"/>
              </w:rPr>
              <w:t xml:space="preserve">, от 27.02.2020 </w:t>
            </w:r>
            <w:hyperlink w:history="0" r:id="rId20" w:tooltip="Приказ министерства природных ресурсов и экологии Саратовской области от 27.02.2020 N 90 &quot;О внесении изменений в приказ министерства природных ресурсов и экологии Саратовской области от 17 июня 2014 года N 280&quot; {КонсультантПлюс}">
              <w:r>
                <w:rPr>
                  <w:sz w:val="20"/>
                  <w:color w:val="0000ff"/>
                </w:rPr>
                <w:t xml:space="preserve">N 90</w:t>
              </w:r>
            </w:hyperlink>
            <w:r>
              <w:rPr>
                <w:sz w:val="20"/>
                <w:color w:val="392c69"/>
              </w:rPr>
              <w:t xml:space="preserve">, от 29.07.2020 </w:t>
            </w:r>
            <w:hyperlink w:history="0" r:id="rId21" w:tooltip="Приказ министерства природных ресурсов и экологии Саратовской области от 29.07.2020 N 361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361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03.12.2020 </w:t>
            </w:r>
            <w:hyperlink w:history="0" r:id="rId22" w:tooltip="Приказ министерства природных ресурсов и экологии Саратовской области от 03.12.2020 N 644 &quot;О внесении изменений в приказ министерства природных ресурсов и экологии Саратовской области от 17 июня 2014 года N 280&quot; {КонсультантПлюс}">
              <w:r>
                <w:rPr>
                  <w:sz w:val="20"/>
                  <w:color w:val="0000ff"/>
                </w:rPr>
                <w:t xml:space="preserve">N 644</w:t>
              </w:r>
            </w:hyperlink>
            <w:r>
              <w:rPr>
                <w:sz w:val="20"/>
                <w:color w:val="392c69"/>
              </w:rPr>
              <w:t xml:space="preserve">, от 23.03.2021 </w:t>
            </w:r>
            <w:hyperlink w:history="0" r:id="rId23" w:tooltip="Приказ министерства природных ресурсов и экологии Саратовской области от 23.03.2021 N 101 &quot;О внесении изменений в приказ министерства природных ресурсов и экологии Саратовской области от 17 июня 2014 года N 280&quot; {КонсультантПлюс}">
              <w:r>
                <w:rPr>
                  <w:sz w:val="20"/>
                  <w:color w:val="0000ff"/>
                </w:rPr>
                <w:t xml:space="preserve">N 101</w:t>
              </w:r>
            </w:hyperlink>
            <w:r>
              <w:rPr>
                <w:sz w:val="20"/>
                <w:color w:val="392c69"/>
              </w:rPr>
              <w:t xml:space="preserve">, от 30.06.2021 </w:t>
            </w:r>
            <w:hyperlink w:history="0" r:id="rId24" w:tooltip="Приказ министерства природных ресурсов и экологии Саратовской области от 30.06.2021 N 283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283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23.09.2021 </w:t>
            </w:r>
            <w:hyperlink w:history="0" r:id="rId25" w:tooltip="Приказ министерства природных ресурсов и экологии Саратовской области от 23.09.2021 N 438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438</w:t>
              </w:r>
            </w:hyperlink>
            <w:r>
              <w:rPr>
                <w:sz w:val="20"/>
                <w:color w:val="392c69"/>
              </w:rPr>
              <w:t xml:space="preserve">, от 10.12.2021 </w:t>
            </w:r>
            <w:hyperlink w:history="0" r:id="rId26" w:tooltip="Приказ министерства природных ресурсов и экологии Саратовской области от 10.12.2021 N 585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585</w:t>
              </w:r>
            </w:hyperlink>
            <w:r>
              <w:rPr>
                <w:sz w:val="20"/>
                <w:color w:val="392c69"/>
              </w:rPr>
              <w:t xml:space="preserve">, от 15.03.2022 </w:t>
            </w:r>
            <w:hyperlink w:history="0" r:id="rId27" w:tooltip="Приказ министерства природных ресурсов и экологии Саратовской области от 15.03.2022 N 111 &quot;О внесении изменений в приказ министерства природных ресурсов и экологии Саратовской области от 17 июня 2014 года N 280&quot; {КонсультантПлюс}">
              <w:r>
                <w:rPr>
                  <w:sz w:val="20"/>
                  <w:color w:val="0000ff"/>
                </w:rPr>
                <w:t xml:space="preserve">N 111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28.04.2022 </w:t>
            </w:r>
            <w:hyperlink w:history="0" r:id="rId28" w:tooltip="Приказ министерства природных ресурсов и экологии Саратовской области от 28.04.2022 N 177 &quot;О внесении изменений в приказ министерства природных ресурсов и экологии Саратовской области от 17 июня 2014 года N 273 и приказ министерства природных ресурсов и экологии Саратовской области от 17 июня 2014 года N 280&quot; {КонсультантПлюс}">
              <w:r>
                <w:rPr>
                  <w:sz w:val="20"/>
                  <w:color w:val="0000ff"/>
                </w:rPr>
                <w:t xml:space="preserve">N 177</w:t>
              </w:r>
            </w:hyperlink>
            <w:r>
              <w:rPr>
                <w:sz w:val="20"/>
                <w:color w:val="392c69"/>
              </w:rPr>
              <w:t xml:space="preserve">, от 30.06.2022 </w:t>
            </w:r>
            <w:hyperlink w:history="0" r:id="rId29" w:tooltip="Приказ министерства природных ресурсов и экологии Саратовской области от 30.06.2022 N 315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315</w:t>
              </w:r>
            </w:hyperlink>
            <w:r>
              <w:rPr>
                <w:sz w:val="20"/>
                <w:color w:val="392c69"/>
              </w:rPr>
              <w:t xml:space="preserve">, от 31.05.2023 </w:t>
            </w:r>
            <w:hyperlink w:history="0" r:id="rId30" w:tooltip="Приказ министерства природных ресурсов и экологии Саратовской области от 31.05.2023 N 294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294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14.07.2023 </w:t>
            </w:r>
            <w:hyperlink w:history="0" r:id="rId31" w:tooltip="Приказ министерства природных ресурсов и экологии Саратовской области от 14.07.2023 N 395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395</w:t>
              </w:r>
            </w:hyperlink>
            <w:r>
              <w:rPr>
                <w:sz w:val="20"/>
                <w:color w:val="392c69"/>
              </w:rPr>
              <w:t xml:space="preserve">, от 28.09.2023 </w:t>
            </w:r>
            <w:hyperlink w:history="0" r:id="rId32" w:tooltip="Приказ министерства природных ресурсов и экологии Саратовской области от 28.09.2023 N 571 &quot;О внесении изменений в приказы министерства природных ресурсов и экологии Саратовской области от 17 июня 2014 года N 273 и от 17 июня 2014 года N 280&quot; {КонсультантПлюс}">
              <w:r>
                <w:rPr>
                  <w:sz w:val="20"/>
                  <w:color w:val="0000ff"/>
                </w:rPr>
                <w:t xml:space="preserve">N 571</w:t>
              </w:r>
            </w:hyperlink>
            <w:r>
              <w:rPr>
                <w:sz w:val="20"/>
                <w:color w:val="392c69"/>
              </w:rPr>
              <w:t xml:space="preserve">, от 14.04.2025 </w:t>
            </w:r>
            <w:hyperlink w:history="0" r:id="rId33" w:tooltip="Приказ министерства природных ресурсов и экологии Саратовской области от 14.04.2025 N 157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157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24.06.2025 </w:t>
            </w:r>
            <w:hyperlink w:history="0" r:id="rId34" w:tooltip="Приказ министерства природных ресурсов и экологии Саратовской области от 24.06.2025 N 347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347</w:t>
              </w:r>
            </w:hyperlink>
            <w:r>
              <w:rPr>
                <w:sz w:val="20"/>
                <w:color w:val="392c69"/>
              </w:rPr>
              <w:t xml:space="preserve">, от 08.05.2026 </w:t>
            </w:r>
            <w:hyperlink w:history="0" r:id="rId35" w:tooltip="Приказ министерства природных ресурсов и экологии Саратовской области от 08.05.2026 N 199 &quot;О внесении изменения в приказ министерства природных ресурсов и экологии Саратовской области от 17 июня 2014 года N 280&quot; {КонсультантПлюс}">
              <w:r>
                <w:rPr>
                  <w:sz w:val="20"/>
                  <w:color w:val="0000ff"/>
                </w:rPr>
                <w:t xml:space="preserve">N 199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 изм., внесенными приказами министерства природных ресурсов и экологии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Саратовской области от 14.02.2020 </w:t>
            </w:r>
            <w:hyperlink w:history="0" r:id="rId36" w:tooltip="Приказ министерства природных ресурсов и экологии Саратовской области от 14.02.2020 N 71 &quot;О приостановлении действия пункта 2.5 административного регламента по предоставлению государственной услуги&quot; {КонсультантПлюс}">
              <w:r>
                <w:rPr>
                  <w:sz w:val="20"/>
                  <w:color w:val="0000ff"/>
                </w:rPr>
                <w:t xml:space="preserve">N 71</w:t>
              </w:r>
            </w:hyperlink>
            <w:r>
              <w:rPr>
                <w:sz w:val="20"/>
                <w:color w:val="392c69"/>
              </w:rPr>
              <w:t xml:space="preserve">, от 21.03.2023 </w:t>
            </w:r>
            <w:hyperlink w:history="0" r:id="rId37" w:tooltip="Приказ министерства природных ресурсов и экологии Саратовской области от 21.03.2023 N 140 &quot;О приостановлении действия отдельных положений приказов министерства природных ресурсов и экологии Саратовской области от 17 июня 2014 года N 273 и от 17 июня 2014 года N 280&quot; {КонсультантПлюс}">
              <w:r>
                <w:rPr>
                  <w:sz w:val="20"/>
                  <w:color w:val="0000ff"/>
                </w:rPr>
                <w:t xml:space="preserve">N 140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 основании </w:t>
      </w:r>
      <w:hyperlink w:history="0" r:id="rId38" w:tooltip="Постановление Правительства Саратовской области от 10.06.2013 N 286-П &quot;О реорганизации некоторых органов исполнительной власти Саратов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Саратовской области от 10 июня 2013 г. N 286-П "О реорганизации некоторых органов исполнительной власти Саратовской области", </w:t>
      </w:r>
      <w:hyperlink w:history="0" r:id="rId39" w:tooltip="Постановление Правительства Саратовской области от 08.10.2013 N 537-П (ред. от 17.06.2026) &quot;Вопросы министерства природных ресурсов и экологии Саратовской области&quot; (вместе с &quot;Положением о министерстве природных ресурсов и экологии Саратовской области&quot;, &quot;Перечнем юридических лиц, подведомственных министерству природных ресурсов и экологии Саратовской области&quot;)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Саратовской области от 8 октября 2013 г. N 537-П "Вопросы министерства природных ресурсов и экологии Саратовской области"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административный </w:t>
      </w:r>
      <w:hyperlink w:history="0" w:anchor="P50" w:tooltip="АДМИНИСТРАТИВНЫЙ РЕГЛАМЕНТ">
        <w:r>
          <w:rPr>
            <w:sz w:val="20"/>
            <w:color w:val="0000ff"/>
          </w:rPr>
          <w:t xml:space="preserve">регламент</w:t>
        </w:r>
      </w:hyperlink>
      <w:r>
        <w:rPr>
          <w:sz w:val="20"/>
        </w:rPr>
        <w:t xml:space="preserve"> министерства природных ресурсов и экологии Саратовской области по предоставлению государственной услуги по выдаче разрешения на ввод в эксплуатацию объекта капитального строительства, построенного, реконструированного в границах особо охраняемой природной территории регионального значения, находящейся в ведении министерства природных ресурсов и экологии области, в соответствии с разрешением на строительство, выданным министерством природных ресурсов и экологии области (за исключением населенных пунктов, указанных в статье 3.1 Федерального закона "Об особо охраняемых природных территориях"), согласно приложению.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0" w:tooltip="Приказ министерства природных ресурсов и экологии Саратовской области от 10.12.2021 N 585 &quot;О внесении изменений в некоторые приказы министерства природных ресурсов и экологии Саратовской области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природных ресурсов и экологии Саратовской области от 10.12.2021 N 585)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утратившими силу: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В официальном тексте документа, видимо, допущена опечатка: приказ комитета охраны окружающей среды и природопользования Саратовской области N 1012 издан 18.12.2012, а не 12.12.2012.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Rule="auto"/>
        <w:ind w:firstLine="540"/>
        <w:jc w:val="both"/>
      </w:pPr>
      <w:hyperlink w:history="0" r:id="rId41" w:tooltip="Приказ комитета охраны окружающей среды и природопользования Саратовской области от 18.12.2012 N 1012 (ред. от 25.02.2013) &quot;Об утверждении административного регламента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комитета охраны окружающей среды и природопользования Саратовской области от 12 декабря 2012 г. N 1012 "Об утверждении административного регламента";</w:t>
      </w:r>
    </w:p>
    <w:p>
      <w:pPr>
        <w:pStyle w:val="0"/>
        <w:spacing w:before="200" w:lineRule="auto"/>
        <w:ind w:firstLine="540"/>
        <w:jc w:val="both"/>
      </w:pPr>
      <w:hyperlink w:history="0" r:id="rId42" w:tooltip="Приказ комитета охраны окружающей среды и природопользования Саратовской области от 25.02.2013 N 117 &quot;О внесении изменений в приказ комитета охраны окружающей среды и природопользования Саратовской области от 18 декабря 2012 г. N 1012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комитета охраны окружающей среды и природопользования Саратовской области от 25 февраля 2013 г. N 117 "О внесении изменений в приказ комитета охраны окружающей среды и природопользования Саратовской области от 18 декабря 2012 г. N 1012".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Утратил силу. - </w:t>
      </w:r>
      <w:hyperlink w:history="0" r:id="rId43" w:tooltip="Приказ министерства природных ресурсов и экологии Саратовской области от 07.10.2016 N 732 &quot;О внесении изменений в приказ министерства природных ресурсов и экологии Саратовской области от 17 июня 2014 года N 280&quot;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природных ресурсов и экологии Саратовской области от 07.10.2016 N 732.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Контроль за исполнением настоящего приказа оставляю за собой.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44" w:tooltip="Приказ министерства природных ресурсов и экологии Саратовской области от 07.10.2016 N 732 &quot;О внесении изменений в приказ министерства природных ресурсов и экологии Саратовской области от 17 июня 2014 года N 280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природных ресурсов и экологии Саратовской области от 07.10.2016 N 732)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Настоящий приказ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И.Н.ПОТАПОВ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природных ресурсов и экологии</w:t>
      </w:r>
    </w:p>
    <w:p>
      <w:pPr>
        <w:pStyle w:val="0"/>
        <w:jc w:val="right"/>
      </w:pPr>
      <w:r>
        <w:rPr>
          <w:sz w:val="20"/>
        </w:rPr>
        <w:t xml:space="preserve">Саратовской области</w:t>
      </w:r>
    </w:p>
    <w:p>
      <w:pPr>
        <w:pStyle w:val="0"/>
        <w:jc w:val="right"/>
      </w:pPr>
      <w:r>
        <w:rPr>
          <w:sz w:val="20"/>
        </w:rPr>
        <w:t xml:space="preserve">от 17 июня 2014 г. N 280</w:t>
      </w:r>
    </w:p>
    <w:p>
      <w:pPr>
        <w:pStyle w:val="0"/>
        <w:jc w:val="both"/>
      </w:pPr>
      <w:r>
        <w:rPr>
          <w:sz w:val="20"/>
        </w:rPr>
      </w:r>
    </w:p>
    <w:bookmarkStart w:id="50" w:name="P50"/>
    <w:bookmarkEnd w:id="50"/>
    <w:p>
      <w:pPr>
        <w:pStyle w:val="2"/>
        <w:jc w:val="center"/>
      </w:pPr>
      <w:r>
        <w:rPr>
          <w:sz w:val="20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0"/>
        </w:rPr>
        <w:t xml:space="preserve">МИНИСТЕРСТВА ПРИРОДНЫХ РЕСУРСОВ И ЭКОЛОГИИ САРАТОВСКОЙ</w:t>
      </w:r>
    </w:p>
    <w:p>
      <w:pPr>
        <w:pStyle w:val="2"/>
        <w:jc w:val="center"/>
      </w:pPr>
      <w:r>
        <w:rPr>
          <w:sz w:val="20"/>
        </w:rPr>
        <w:t xml:space="preserve">ОБЛАСТИ ПО ПРЕДОСТАВЛЕНИЮ ГОСУДАРСТВЕННОЙ УСЛУГИ "ВЫДАЧА</w:t>
      </w:r>
    </w:p>
    <w:p>
      <w:pPr>
        <w:pStyle w:val="2"/>
        <w:jc w:val="center"/>
      </w:pPr>
      <w:r>
        <w:rPr>
          <w:sz w:val="20"/>
        </w:rPr>
        <w:t xml:space="preserve">РАЗРЕШЕНИЯ НА ВВОД В ЭКСПЛУАТАЦИЮ ОБЪЕКТА КАПИТАЛЬНОГО</w:t>
      </w:r>
    </w:p>
    <w:p>
      <w:pPr>
        <w:pStyle w:val="2"/>
        <w:jc w:val="center"/>
      </w:pPr>
      <w:r>
        <w:rPr>
          <w:sz w:val="20"/>
        </w:rPr>
        <w:t xml:space="preserve">СТРОИТЕЛЬСТВА, ПОСТРОЕННОГО, РЕКОНСТРУИРОВАННОГО В ГРАНИЦАХ</w:t>
      </w:r>
    </w:p>
    <w:p>
      <w:pPr>
        <w:pStyle w:val="2"/>
        <w:jc w:val="center"/>
      </w:pPr>
      <w:r>
        <w:rPr>
          <w:sz w:val="20"/>
        </w:rPr>
        <w:t xml:space="preserve">ОСОБО ОХРАНЯЕМОЙ ПРИРОДНОЙ ТЕРРИТОРИИ РЕГИОНАЛЬНОГО</w:t>
      </w:r>
    </w:p>
    <w:p>
      <w:pPr>
        <w:pStyle w:val="2"/>
        <w:jc w:val="center"/>
      </w:pPr>
      <w:r>
        <w:rPr>
          <w:sz w:val="20"/>
        </w:rPr>
        <w:t xml:space="preserve">ЗНАЧЕНИЯ, НАХОДЯЩЕЙСЯ В ВЕДЕНИИ МИНИСТЕРСТВА ПРИРОДНЫХ</w:t>
      </w:r>
    </w:p>
    <w:p>
      <w:pPr>
        <w:pStyle w:val="2"/>
        <w:jc w:val="center"/>
      </w:pPr>
      <w:r>
        <w:rPr>
          <w:sz w:val="20"/>
        </w:rPr>
        <w:t xml:space="preserve">РЕСУРСОВ И ЭКОЛОГИИ ОБЛАСТИ, В СООТВЕТСТВИИ С РАЗРЕШЕНИЕМ</w:t>
      </w:r>
    </w:p>
    <w:p>
      <w:pPr>
        <w:pStyle w:val="2"/>
        <w:jc w:val="center"/>
      </w:pPr>
      <w:r>
        <w:rPr>
          <w:sz w:val="20"/>
        </w:rPr>
        <w:t xml:space="preserve">НА СТРОИТЕЛЬСТВО, ВЫДАННЫМ МИНИСТЕРСТВОМ ПРИРОДНЫХ РЕСУРСОВ</w:t>
      </w:r>
    </w:p>
    <w:p>
      <w:pPr>
        <w:pStyle w:val="2"/>
        <w:jc w:val="center"/>
      </w:pPr>
      <w:r>
        <w:rPr>
          <w:sz w:val="20"/>
        </w:rPr>
        <w:t xml:space="preserve">И ЭКОЛОГИИ ОБЛАСТИ (ЗА ИСКЛЮЧЕНИЕМ НАСЕЛЕННЫХ ПУНКТОВ,</w:t>
      </w:r>
    </w:p>
    <w:p>
      <w:pPr>
        <w:pStyle w:val="2"/>
        <w:jc w:val="center"/>
      </w:pPr>
      <w:r>
        <w:rPr>
          <w:sz w:val="20"/>
        </w:rPr>
        <w:t xml:space="preserve">УКАЗАННЫХ В СТАТЬЕ 3.1 ФЕДЕРАЛЬНОГО ЗАКОНА "ОБ ОСОБО</w:t>
      </w:r>
    </w:p>
    <w:p>
      <w:pPr>
        <w:pStyle w:val="2"/>
        <w:jc w:val="center"/>
      </w:pPr>
      <w:r>
        <w:rPr>
          <w:sz w:val="20"/>
        </w:rPr>
        <w:t xml:space="preserve">ОХРАНЯЕМЫХ ПРИРОДНЫХ ТЕРРИТОРИЯХ")"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45" w:tooltip="Приказ министерства природных ресурсов и экологии Саратовской области от 08.05.2026 N 199 &quot;О внесении изменения в приказ министерства природных ресурсов и экологии Саратовской области от 17 июня 2014 года N 280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министерства природных ресурсов и экологии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Саратовской области от 08.05.2026 N 199)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1.1. Предмет регулирования административного регламента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Административный регламент министерства природных ресурсов и экологии Саратовской области регулирует отношения, возникающие в связи с предоставлением государственной услуги по выдаче разрешения на ввод в эксплуатацию объекта капитального строительства, построенного, реконструированного в границах особо охраняемой природной территории регионального значения, находящейся в ведении министерства природных ресурсов и экологии Саратовской области (далее - министерство), в соответствии с разрешением на строительство, выданным министерством (за исключением населенных пунктов, указанных в </w:t>
      </w:r>
      <w:hyperlink w:history="0" r:id="rId46" w:tooltip="Федеральный закон от 14.03.1995 N 33-ФЗ (ред. от 29.12.2025) &quot;Об особо охраняемых природных территориях&quot; (с изм. и доп., вступ. в силу с 01.03.2026) {КонсультантПлюс}">
        <w:r>
          <w:rPr>
            <w:sz w:val="20"/>
            <w:color w:val="0000ff"/>
          </w:rPr>
          <w:t xml:space="preserve">статье 3.1</w:t>
        </w:r>
      </w:hyperlink>
      <w:r>
        <w:rPr>
          <w:sz w:val="20"/>
        </w:rPr>
        <w:t xml:space="preserve"> Федерального закона "Об особо охраняемых природных территориях") (далее - Административный регламент, Государственная услуга).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Административный регламент устанавливает стандарт и порядок предоставления Государственной услуги, состав, последовательность и сроки выполнения административных процедур по предоставлению Государственной услуги.</w:t>
      </w:r>
    </w:p>
    <w:p>
      <w:pPr>
        <w:pStyle w:val="0"/>
        <w:spacing w:before="200" w:lineRule="auto"/>
        <w:ind w:firstLine="540"/>
        <w:jc w:val="both"/>
      </w:pPr>
      <w:hyperlink w:history="0" w:anchor="P184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условных обозначений и сокращений указан в Приложении N 1 к настоящему Административному регламенту.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1.2. Круг заявителей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Заявителями на предоставление услуги являются застройщики - физические, юридические лица и индивидуальные предприниматели, закончившие строительство, реконструкцию объектов капитального строительства в границах особо охраняемой природной территории регионального значения, разрешение на строительство, реконструкцию которых выдано министерством.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1.3. Информация о порядке предоставления Государственной услуги и сведения о категориях (признаках) заявителей размещаются в федеральной государственной информационной системе "Федеральный реестр государственных и муниципальных услуг (функций)" и в федеральной государственной информационной системе "Единый портал государственных и муниципальных услуг (функций)" (далее - реестр услуг, Единый портал, ЕПГУ, соответственно)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Категории (признаки) заявителей определяются путем профилирования, осуществляемого в соответствии с Административным регламентом.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Стандарт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2.1. Наименование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Разрешение на ввод в эксплуатацию объекта капитального строительства, построенного, реконструированного в границах особо охраняемой природной территории регионального значения, находящейся в ведении министерства природных ресурсов и экологии Саратовской области, в соответствии с разрешением на строительство, выданным министерством природных ресурсов и экологии Саратовской области (за исключением населенных пунктов, указанных в </w:t>
      </w:r>
      <w:hyperlink w:history="0" r:id="rId47" w:tooltip="Федеральный закон от 14.03.1995 N 33-ФЗ (ред. от 29.12.2025) &quot;Об особо охраняемых природных территориях&quot; (с изм. и доп., вступ. в силу с 01.03.2026) {КонсультантПлюс}">
        <w:r>
          <w:rPr>
            <w:sz w:val="20"/>
            <w:color w:val="0000ff"/>
          </w:rPr>
          <w:t xml:space="preserve">статье 3.1</w:t>
        </w:r>
      </w:hyperlink>
      <w:r>
        <w:rPr>
          <w:sz w:val="20"/>
        </w:rPr>
        <w:t xml:space="preserve"> Федерального закона "Об особо охраняемых природных территориях").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2.2. Наименование исполнительного органа, предоставляющего Государственную услугу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Государственная услуга предоставляется министерством природных ресурсов и экологии Саратовской области (далее - Министерство).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2.3. Результат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2.3.1. Результатами предоставления Государственной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выдача разрешения на ввод в эксплуатацию в форме документа на бумажном носителе или в форме электронного документа, подписанного усиленной квалифицированной электронной подписью должностного лица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отказ в выдаче разрешения на ввод в эксплуатацию в форме документа на бумажном носителе или в форме электронного документа, подписанного усиленной квалифицированной электронной подписью должностного лица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2.3.2. Формирование реестровой записи по результатам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реестровой записи в качестве результата предоставления Государственной услуги не предусмотрено.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2.3.3. Способы получения результата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 предоставления Государственной услуги может быть получен на бумажном носителе при обращении заявителем непосредственно в Министерство, в форме электронного документа, подписанного усиленной квалифицированной электронной подписью должностного лица Министерства посредством направления в личный кабинет заявителя на ЕПГУ, на бумажном носителе через МФЦ.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2.4. Срок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2.4.1. Максимальный срок предоставления Государственной услуги составляет 5 рабочих дней со дня регистрации запроса и документов и (или) информации, необходимых для предоставления государственной услуги, независимо от категории (признаков) Заявителя и способа подачи заявления, в том числе, если заявление и документы поданы заявителем непосредственно в Министерство или через МФЦ.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2.4.2. В случае, если были допущены опечатки и (или) ошибки в документах, выданных в результате предоставления Государственной услуги, то документы подлежат исправлению в срок, не превышающий 2 рабочих дней со дня поступления в Министерство заявления от Заявителя об исправлении выявленных опечаток и (или) ошибок.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2.5. Размер платы, взимаемой с Заявителя при предоставлении Государственной услуги, и способы ее взимания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Взимание государственной пошлины или иной платы за предоставление Государственной услуги законодательством Российской Федерации не предусмотрено.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2.6. Максимальный срок ожидания в очереди при подаче заявителем заявления и документов и при получении результата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Максимальный срок ожидания в очереди при подаче заявителем заявления и документов в случае обращения заявителя непосредственно в Министерство или в МФЦ составляет 15 минут.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Максимальный срок ожидания в очереди при получении результата предоставления государственной услуги в случае обращения заявителя непосредственно в Министерство или в МФЦ составляет 15 минут.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2.7. Срок регистрации заявления заявителя о предоставлении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Заявление о предоставлении Государственной услуги, поданное в электронной форме посредством ЕПГУ, регистрируется в день его подачи.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Заявление о предоставлении Государственной услуги, принятое при личном посещении Министерства, регистрируется в день обращения Заявителя.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Заявление о предоставлении Государственной услуги, принятое через МФЦ, регистрируется в день обращения Заявителя.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2.8. Требования к помещениям, в которых предоставляется Государственная услуга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Требования, которым должны соответствовать помещения, в которых предоставляется Государственная услуга, размещены на официальном сайте Министерства по адресу: </w:t>
      </w:r>
      <w:hyperlink w:history="0" r:id="rId48">
        <w:r>
          <w:rPr>
            <w:sz w:val="20"/>
            <w:color w:val="0000ff"/>
          </w:rPr>
          <w:t xml:space="preserve">https://minforest.saratov.gov.ru/</w:t>
        </w:r>
      </w:hyperlink>
      <w:r>
        <w:rPr>
          <w:sz w:val="20"/>
        </w:rPr>
        <w:t xml:space="preserve"> в сети "Интернет" и на Едином портале государственных и муниципальных услуг по адресу: </w:t>
      </w:r>
      <w:hyperlink w:history="0" r:id="rId49">
        <w:r>
          <w:rPr>
            <w:sz w:val="20"/>
            <w:color w:val="0000ff"/>
          </w:rPr>
          <w:t xml:space="preserve">https://www.gosuslugi.ru/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помещении Министерства для приема документов, необходимых для предоставления Государственной услуги, оборудован информационный стенд с нормативными правовыми актами, регламентирующими порядок предоставления Государственной услуги, а также размещена информация о необходимых документах, сроках предоставления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2.9. Показатели доступности и качества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Перечень показателей качества и доступности Государственной услуги размещен на официальном сайте Министерства по адресу: </w:t>
      </w:r>
      <w:hyperlink w:history="0" r:id="rId50">
        <w:r>
          <w:rPr>
            <w:sz w:val="20"/>
            <w:color w:val="0000ff"/>
          </w:rPr>
          <w:t xml:space="preserve">https://minforest.saratov.gov.ru/</w:t>
        </w:r>
      </w:hyperlink>
      <w:r>
        <w:rPr>
          <w:sz w:val="20"/>
        </w:rPr>
        <w:t xml:space="preserve"> в сети "Интернет" и на Едином портале государственных и муниципальных услуг по адресу: </w:t>
      </w:r>
      <w:hyperlink w:history="0" r:id="rId51">
        <w:r>
          <w:rPr>
            <w:sz w:val="20"/>
            <w:color w:val="0000ff"/>
          </w:rPr>
          <w:t xml:space="preserve">https://www.gosuslugi.ru/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2.10. Иные требования к предоставлению Государственной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2.10.1. Услуги, которые являются необходимыми и обязательными для предоставления Государственной услуги, законодательством Российской Федерации не предусмотрены.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2.10.2. Информационные системы, используемые для предоставления Государственной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ЕПГУ;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ФГИС ЕСИА;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РСМЭВ.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2.10.3. Государственная услуга не предоставляется по экстерриториальному принципу.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2.10.4. Государственная услуга не предоставляется в упреждающем (проактивном) режиме.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2.10.5. Государственная услуга предусматривает возможность подачи заявления и получения результата предоставления Государственной услуги в многофункциональном центре предоставления государственных и муниципальных услуг (МФЦ).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Оснований для принятия МФЦ решения об отказе в приеме заявления и документов, необходимых для предоставления Государственной услуги, не имеется.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2.11. Исчерпывающий перечень документов, необходимых для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Исчерпывающий </w:t>
      </w:r>
      <w:hyperlink w:history="0" w:anchor="P240" w:tooltip="ИСЧЕРПЫВАЮЩИЙ ПЕРЕЧЕНЬ ДОКУМЕНТОВ,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документов, необходимых в соответствии с законодательными и иными нормативными правовыми актами для предоставления Государственной услуги, приведен в Приложении N 3 к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hyperlink w:history="0" w:anchor="P240" w:tooltip="ИСЧЕРПЫВАЮЩИЙ ПЕРЕЧЕНЬ ДОКУМЕНТОВ,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документов, которые Заявитель вправе представить по собственной инициативе, приведен в Приложении N 3 к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hyperlink w:history="0" w:anchor="P240" w:tooltip="ИСЧЕРПЫВАЮЩИЙ ПЕРЕЧЕНЬ ДОКУМЕНТОВ,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документов, запрашиваемых Министерством в рамках межведомственного информационного взаимодействия, приведен в Приложении N 3 к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Форма </w:t>
      </w:r>
      <w:hyperlink w:history="0" w:anchor="P350" w:tooltip="Форма">
        <w:r>
          <w:rPr>
            <w:sz w:val="20"/>
            <w:color w:val="0000ff"/>
          </w:rPr>
          <w:t xml:space="preserve">заявления</w:t>
        </w:r>
      </w:hyperlink>
      <w:r>
        <w:rPr>
          <w:sz w:val="20"/>
        </w:rPr>
        <w:t xml:space="preserve"> и документов, необходимых для предоставления Государственной услуги, приведена в Приложении N 5 к Административному регламенту.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2.12. Исчерпывающий перечень оснований для отказа в приеме заявления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отказа в предоставлении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2.12.1. Основания для отказа в приеме заявления и документов, необходимых для предоставления Государственной услуги, отсутствуют.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2.12.2. Основания для приостановления предоставления Государственной услуги отсутствуют.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2.12.3. Исчерпывающий </w:t>
      </w:r>
      <w:hyperlink w:history="0" w:anchor="P315" w:tooltip="ИСЧЕРПЫВАЮЩИЙ ПЕРЕЧЕНЬ ОСНОВАНИЙ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оснований для отказа в предоставлении Государственной услуги с учетом категории (признаков) Заявителя приведен в Приложении N 4 к Административному регламенту.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Состав, последовательность и сроки выполнения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Перечень осуществляемых при предоставлении Государственной услуги административных процедур.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предоставлении Государственной услуги последовательно осуществляются следующие административные процедуры: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профилирование Заявителя;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прием и регистрация Заявления и документов, необходимых для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запрос документов в рамках межведомственного информационного взаимодействия;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рассмотрение документов на предмет их соответствия требованиям законодательства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принятие решения о предоставлении (об отказе в предоставлении)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предоставление результата Государственной услуги Заявителю.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Способы информирования заявителя</w:t>
      </w:r>
    </w:p>
    <w:p>
      <w:pPr>
        <w:pStyle w:val="2"/>
        <w:jc w:val="center"/>
      </w:pPr>
      <w:r>
        <w:rPr>
          <w:sz w:val="20"/>
        </w:rPr>
        <w:t xml:space="preserve">об изменении статуса рассмотрения Заявления</w:t>
      </w:r>
    </w:p>
    <w:p>
      <w:pPr>
        <w:pStyle w:val="2"/>
        <w:jc w:val="center"/>
      </w:pPr>
      <w:r>
        <w:rPr>
          <w:sz w:val="20"/>
        </w:rPr>
        <w:t xml:space="preserve">о предоставлении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Информирование заявителя об изменении статуса рассмотрения Заявления о предоставлении Государственной услуги осуществляется: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посредством направления уведомлений в личный кабинет заявителя на ЕПГУ в соответствии с </w:t>
      </w:r>
      <w:hyperlink w:history="0" r:id="rId52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частью 3.1 статьи 21</w:t>
        </w:r>
      </w:hyperlink>
      <w:r>
        <w:rPr>
          <w:sz w:val="20"/>
        </w:rPr>
        <w:t xml:space="preserve"> Федерального закона от 27 июля 2010 года N 210-ФЗ "Об организации предоставления государственных и муниципальных услуг";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посредством телефонной связи;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при личном обращении в Министерство.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both"/>
      </w:pPr>
      <w:r>
        <w:rPr>
          <w:sz w:val="20"/>
        </w:rPr>
      </w:r>
    </w:p>
    <w:bookmarkStart w:id="184" w:name="P184"/>
    <w:bookmarkEnd w:id="184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УСЛОВНЫХ ОБОЗНАЧЕНИЙ И СОКРАЩЕНИЙ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644"/>
        <w:gridCol w:w="7370"/>
      </w:tblGrid>
      <w:t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bookmarkStart w:id="187" w:name="P187"/>
          <w:bookmarkEnd w:id="187"/>
          <w:p>
            <w:pPr>
              <w:pStyle w:val="0"/>
              <w:jc w:val="both"/>
            </w:pPr>
            <w:r>
              <w:rPr>
                <w:sz w:val="20"/>
              </w:rPr>
              <w:t xml:space="preserve">ЕПГУ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федеральная государственная информационная система "Единый портал государственных и муниципальных услуг (функций)", расположенная в информационно-телекоммуникационной сети "Интернет" по адресу: </w:t>
            </w:r>
            <w:hyperlink w:history="0" r:id="rId53">
              <w:r>
                <w:rPr>
                  <w:sz w:val="20"/>
                  <w:color w:val="0000ff"/>
                </w:rPr>
                <w:t xml:space="preserve">www.gosuslugi.ru</w:t>
              </w:r>
            </w:hyperlink>
          </w:p>
        </w:tc>
      </w:tr>
      <w:t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bookmarkStart w:id="189" w:name="P189"/>
          <w:bookmarkEnd w:id="189"/>
          <w:p>
            <w:pPr>
              <w:pStyle w:val="0"/>
              <w:jc w:val="both"/>
            </w:pPr>
            <w:r>
              <w:rPr>
                <w:sz w:val="20"/>
              </w:rPr>
              <w:t xml:space="preserve">ЭЦП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электронная цифровая подпись</w:t>
            </w:r>
          </w:p>
        </w:tc>
      </w:tr>
      <w:t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bookmarkStart w:id="191" w:name="P191"/>
          <w:bookmarkEnd w:id="191"/>
          <w:p>
            <w:pPr>
              <w:pStyle w:val="0"/>
              <w:jc w:val="both"/>
            </w:pPr>
            <w:r>
              <w:rPr>
                <w:sz w:val="20"/>
              </w:rPr>
              <w:t xml:space="preserve">ЛО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личное обращение</w:t>
            </w:r>
          </w:p>
        </w:tc>
      </w:tr>
      <w:t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bookmarkStart w:id="193" w:name="P193"/>
          <w:bookmarkEnd w:id="193"/>
          <w:p>
            <w:pPr>
              <w:pStyle w:val="0"/>
              <w:jc w:val="both"/>
            </w:pPr>
            <w:r>
              <w:rPr>
                <w:sz w:val="20"/>
              </w:rPr>
              <w:t xml:space="preserve">МФЦ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многофункциональный центр предоставления государственных и муниципальных услуг</w:t>
            </w:r>
          </w:p>
        </w:tc>
      </w:tr>
      <w:t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ФГИС ЕСИА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федеральная государственная информационная система "Единая система аутентификации и идентификации"</w:t>
            </w:r>
          </w:p>
        </w:tc>
      </w:tr>
      <w:t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РСМЭВ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система межведомственного электронного взаимодействия Саратовской области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Профилирование заявителя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082"/>
        <w:gridCol w:w="4876"/>
      </w:tblGrid>
      <w:tr>
        <w:tc>
          <w:tcPr>
            <w:tcW w:w="4082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Вопросы анкетирования заявителя</w:t>
            </w:r>
          </w:p>
        </w:tc>
        <w:tc>
          <w:tcPr>
            <w:tcW w:w="4876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Варианты ответов</w:t>
            </w:r>
          </w:p>
        </w:tc>
      </w:tr>
      <w:tr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Категория заявителя?</w:t>
            </w:r>
          </w:p>
        </w:tc>
        <w:tc>
          <w:tcPr>
            <w:tcW w:w="48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1. Индивидуальный предприниматель</w:t>
            </w:r>
          </w:p>
          <w:p>
            <w:pPr>
              <w:pStyle w:val="0"/>
            </w:pPr>
            <w:r>
              <w:rPr>
                <w:sz w:val="20"/>
              </w:rPr>
              <w:t xml:space="preserve">2. Юридическое лицо</w:t>
            </w:r>
          </w:p>
          <w:p>
            <w:pPr>
              <w:pStyle w:val="0"/>
            </w:pPr>
            <w:r>
              <w:rPr>
                <w:sz w:val="20"/>
              </w:rPr>
              <w:t xml:space="preserve">3. Физическое лицо</w:t>
            </w:r>
          </w:p>
        </w:tc>
      </w:tr>
      <w:tr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Каким образом обратился заявитель?</w:t>
            </w:r>
          </w:p>
        </w:tc>
        <w:tc>
          <w:tcPr>
            <w:tcW w:w="487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1. Обратился лично</w:t>
            </w:r>
          </w:p>
          <w:p>
            <w:pPr>
              <w:pStyle w:val="0"/>
            </w:pPr>
            <w:r>
              <w:rPr>
                <w:sz w:val="20"/>
              </w:rPr>
              <w:t xml:space="preserve">2. Обратился через представителя заявителя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Идентификаторы категорий (признаков) заявителей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3970"/>
        <w:gridCol w:w="2948"/>
        <w:gridCol w:w="1531"/>
      </w:tblGrid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39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Цель обращения</w:t>
            </w:r>
          </w:p>
        </w:tc>
        <w:tc>
          <w:tcPr>
            <w:tcW w:w="294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категории (признака) заявителя</w:t>
            </w:r>
          </w:p>
        </w:tc>
        <w:tc>
          <w:tcPr>
            <w:tcW w:w="1531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Идентификатор категории (признака) заявителя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970" w:type="dxa"/>
            <w:vAlign w:val="bottom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Получение разрешения на ввод в эксплуатацию объекта капитального строительства, построенного, реконструированного в границах особо охраняемой природной территории регионального значения, находящейся в ведении министерства природных ресурсов и экологии области, в соответствии с разрешением на строительство, выданным министерством природных ресурсов и экологии области (за исключением населенных пунктов, указанных в </w:t>
            </w:r>
            <w:hyperlink w:history="0" r:id="rId54" w:tooltip="Федеральный закон от 14.03.1995 N 33-ФЗ (ред. от 29.12.2025) &quot;Об особо охраняемых природных территориях&quot; (с изм. и доп., вступ. в силу с 01.03.2026) {КонсультантПлюс}">
              <w:r>
                <w:rPr>
                  <w:sz w:val="20"/>
                  <w:color w:val="0000ff"/>
                </w:rPr>
                <w:t xml:space="preserve">статье 3.1</w:t>
              </w:r>
            </w:hyperlink>
            <w:r>
              <w:rPr>
                <w:sz w:val="20"/>
              </w:rPr>
              <w:t xml:space="preserve"> Федерального закона "Об особо охраняемых природных территориях")</w:t>
            </w:r>
          </w:p>
        </w:tc>
        <w:tc>
          <w:tcPr>
            <w:tcW w:w="2948" w:type="dxa"/>
          </w:tcPr>
          <w:p>
            <w:pPr>
              <w:pStyle w:val="0"/>
            </w:pPr>
            <w:r>
              <w:rPr>
                <w:sz w:val="20"/>
              </w:rPr>
              <w:t xml:space="preserve">Обратился непосредственно заявитель (физическое лицо, юридическое лицо либо индивидуальный предприниматель) - застройщик</w:t>
            </w:r>
          </w:p>
        </w:tc>
        <w:tc>
          <w:tcPr>
            <w:tcW w:w="1531" w:type="dxa"/>
          </w:tcPr>
          <w:bookmarkStart w:id="228" w:name="P228"/>
          <w:bookmarkEnd w:id="228"/>
          <w:p>
            <w:pPr>
              <w:pStyle w:val="0"/>
              <w:jc w:val="center"/>
            </w:pPr>
            <w:r>
              <w:rPr>
                <w:sz w:val="20"/>
              </w:rPr>
              <w:t xml:space="preserve">А1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vMerge w:val="continue"/>
          </w:tcPr>
          <w:p/>
        </w:tc>
        <w:tc>
          <w:tcPr>
            <w:tcW w:w="2948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Обратился уполномоченный представитель, действующий на основании доверенности от имени физического лица, юридического лица либо индивидуального предпринимателя,</w:t>
            </w:r>
          </w:p>
        </w:tc>
        <w:tc>
          <w:tcPr>
            <w:tcW w:w="1531" w:type="dxa"/>
          </w:tcPr>
          <w:bookmarkStart w:id="231" w:name="P231"/>
          <w:bookmarkEnd w:id="231"/>
          <w:p>
            <w:pPr>
              <w:pStyle w:val="0"/>
              <w:jc w:val="center"/>
            </w:pPr>
            <w:r>
              <w:rPr>
                <w:sz w:val="20"/>
              </w:rPr>
              <w:t xml:space="preserve">А2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3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both"/>
      </w:pPr>
      <w:r>
        <w:rPr>
          <w:sz w:val="20"/>
        </w:rPr>
      </w:r>
    </w:p>
    <w:bookmarkStart w:id="240" w:name="P240"/>
    <w:bookmarkEnd w:id="240"/>
    <w:p>
      <w:pPr>
        <w:pStyle w:val="2"/>
        <w:jc w:val="center"/>
      </w:pPr>
      <w:r>
        <w:rPr>
          <w:sz w:val="20"/>
        </w:rPr>
        <w:t xml:space="preserve">ИСЧЕРПЫВАЮЩИЙ ПЕРЕЧЕНЬ ДОКУМЕНТОВ,</w:t>
      </w:r>
    </w:p>
    <w:p>
      <w:pPr>
        <w:pStyle w:val="2"/>
        <w:jc w:val="center"/>
      </w:pPr>
      <w:r>
        <w:rPr>
          <w:sz w:val="20"/>
        </w:rPr>
        <w:t xml:space="preserve">НЕОБХОДИМЫХ ДЛЯ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61"/>
        <w:gridCol w:w="1247"/>
        <w:gridCol w:w="3798"/>
        <w:gridCol w:w="2098"/>
        <w:gridCol w:w="1426"/>
      </w:tblGrid>
      <w:tr>
        <w:tc>
          <w:tcPr>
            <w:tcW w:w="4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Идентификатор категории (признака) заявителя</w:t>
            </w:r>
          </w:p>
        </w:tc>
        <w:tc>
          <w:tcPr>
            <w:tcW w:w="37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документов и (или) информации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Требования к составу, оформлению и формам предоставляемых документов</w:t>
            </w:r>
          </w:p>
        </w:tc>
        <w:tc>
          <w:tcPr>
            <w:tcW w:w="142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Способ представления документов</w:t>
            </w:r>
          </w:p>
        </w:tc>
      </w:tr>
      <w:tr>
        <w:tc>
          <w:tcPr>
            <w:tcW w:w="4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hyperlink w:history="0" w:anchor="P228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1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  <w:tc>
          <w:tcPr>
            <w:tcW w:w="3798" w:type="dxa"/>
          </w:tcPr>
          <w:p>
            <w:pPr>
              <w:pStyle w:val="0"/>
            </w:pPr>
            <w:hyperlink w:history="0" w:anchor="P350" w:tooltip="Форма">
              <w:r>
                <w:rPr>
                  <w:sz w:val="20"/>
                  <w:color w:val="0000ff"/>
                </w:rPr>
                <w:t xml:space="preserve">Заявление</w:t>
              </w:r>
            </w:hyperlink>
            <w:r>
              <w:rPr>
                <w:sz w:val="20"/>
              </w:rPr>
              <w:t xml:space="preserve"> на получение разрешения на ввод объекта в эксплуатацию по форме приложения 5 к Административному регламенту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На бумажном носителе (2 экз.) Через </w:t>
            </w:r>
            <w:hyperlink w:history="0" w:anchor="P187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 - электронная форма с </w:t>
            </w:r>
            <w:hyperlink w:history="0" w:anchor="P189" w:tooltip="ЭЦП">
              <w:r>
                <w:rPr>
                  <w:sz w:val="20"/>
                  <w:color w:val="0000ff"/>
                </w:rPr>
                <w:t xml:space="preserve">ЭЦП</w:t>
              </w:r>
            </w:hyperlink>
          </w:p>
        </w:tc>
        <w:tc>
          <w:tcPr>
            <w:tcW w:w="1426" w:type="dxa"/>
          </w:tcPr>
          <w:p>
            <w:pPr>
              <w:pStyle w:val="0"/>
            </w:pPr>
            <w:hyperlink w:history="0" w:anchor="P191" w:tooltip="ЛО">
              <w:r>
                <w:rPr>
                  <w:sz w:val="20"/>
                  <w:color w:val="0000ff"/>
                </w:rPr>
                <w:t xml:space="preserve">ЛО</w:t>
              </w:r>
            </w:hyperlink>
            <w:r>
              <w:rPr>
                <w:sz w:val="20"/>
              </w:rPr>
              <w:t xml:space="preserve">, </w:t>
            </w:r>
            <w:hyperlink w:history="0" w:anchor="P187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, </w:t>
            </w:r>
            <w:hyperlink w:history="0" w:anchor="P193" w:tooltip="МФЦ">
              <w:r>
                <w:rPr>
                  <w:sz w:val="20"/>
                  <w:color w:val="0000ff"/>
                </w:rPr>
                <w:t xml:space="preserve">МФЦ</w:t>
              </w:r>
            </w:hyperlink>
          </w:p>
        </w:tc>
      </w:tr>
      <w:tr>
        <w:tc>
          <w:tcPr>
            <w:tcW w:w="4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hyperlink w:history="0" w:anchor="P231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  <w:tc>
          <w:tcPr>
            <w:tcW w:w="3798" w:type="dxa"/>
          </w:tcPr>
          <w:p>
            <w:pPr>
              <w:pStyle w:val="0"/>
            </w:pPr>
            <w:r>
              <w:rPr>
                <w:sz w:val="20"/>
              </w:rPr>
              <w:t xml:space="preserve">Доверенность или иные документы, подтверждающие полномочия представителя Заявителя.</w:t>
            </w:r>
          </w:p>
          <w:p>
            <w:pPr>
              <w:pStyle w:val="0"/>
            </w:pPr>
            <w:r>
              <w:rPr>
                <w:sz w:val="20"/>
              </w:rPr>
              <w:t xml:space="preserve">Документ, подтверждающий полномочия лица, подписавшего заявление (в случае, если заявление подписано лицом, не имеющим права действовать без доверенности от имени заявителя)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Оригинал или заверенная копия на бумажном носителе с предоставлением документа, удостоверяющего личность. Через </w:t>
            </w:r>
            <w:hyperlink w:history="0" w:anchor="P187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 - электронная форма с </w:t>
            </w:r>
            <w:hyperlink w:history="0" w:anchor="P189" w:tooltip="ЭЦП">
              <w:r>
                <w:rPr>
                  <w:sz w:val="20"/>
                  <w:color w:val="0000ff"/>
                </w:rPr>
                <w:t xml:space="preserve">ЭЦП</w:t>
              </w:r>
            </w:hyperlink>
          </w:p>
        </w:tc>
        <w:tc>
          <w:tcPr>
            <w:tcW w:w="1426" w:type="dxa"/>
          </w:tcPr>
          <w:p>
            <w:pPr>
              <w:pStyle w:val="0"/>
            </w:pPr>
            <w:hyperlink w:history="0" w:anchor="P191" w:tooltip="ЛО">
              <w:r>
                <w:rPr>
                  <w:sz w:val="20"/>
                  <w:color w:val="0000ff"/>
                </w:rPr>
                <w:t xml:space="preserve">ЛО</w:t>
              </w:r>
            </w:hyperlink>
            <w:r>
              <w:rPr>
                <w:sz w:val="20"/>
              </w:rPr>
              <w:t xml:space="preserve">, </w:t>
            </w:r>
            <w:hyperlink w:history="0" w:anchor="P187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, </w:t>
            </w:r>
            <w:hyperlink w:history="0" w:anchor="P193" w:tooltip="МФЦ">
              <w:r>
                <w:rPr>
                  <w:sz w:val="20"/>
                  <w:color w:val="0000ff"/>
                </w:rPr>
                <w:t xml:space="preserve">МФЦ</w:t>
              </w:r>
            </w:hyperlink>
          </w:p>
        </w:tc>
      </w:tr>
      <w:tr>
        <w:tc>
          <w:tcPr>
            <w:tcW w:w="4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hyperlink w:history="0" w:anchor="P228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1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  <w:tc>
          <w:tcPr>
            <w:tcW w:w="3798" w:type="dxa"/>
          </w:tcPr>
          <w:p>
            <w:pPr>
              <w:pStyle w:val="0"/>
            </w:pPr>
            <w:r>
              <w:rPr>
                <w:sz w:val="20"/>
              </w:rPr>
              <w:t xml:space="preserve">Правоустанавливающие документы на земельный участок, права 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На бумажном носителе (1 экз.) Через </w:t>
            </w:r>
            <w:hyperlink w:history="0" w:anchor="P187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 - электронная форма с </w:t>
            </w:r>
            <w:hyperlink w:history="0" w:anchor="P189" w:tooltip="ЭЦП">
              <w:r>
                <w:rPr>
                  <w:sz w:val="20"/>
                  <w:color w:val="0000ff"/>
                </w:rPr>
                <w:t xml:space="preserve">ЭЦП</w:t>
              </w:r>
            </w:hyperlink>
          </w:p>
        </w:tc>
        <w:tc>
          <w:tcPr>
            <w:tcW w:w="1426" w:type="dxa"/>
          </w:tcPr>
          <w:p>
            <w:pPr>
              <w:pStyle w:val="0"/>
            </w:pPr>
            <w:hyperlink w:history="0" w:anchor="P191" w:tooltip="ЛО">
              <w:r>
                <w:rPr>
                  <w:sz w:val="20"/>
                  <w:color w:val="0000ff"/>
                </w:rPr>
                <w:t xml:space="preserve">ЛО</w:t>
              </w:r>
            </w:hyperlink>
            <w:r>
              <w:rPr>
                <w:sz w:val="20"/>
              </w:rPr>
              <w:t xml:space="preserve">, </w:t>
            </w:r>
            <w:hyperlink w:history="0" w:anchor="P187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, </w:t>
            </w:r>
            <w:hyperlink w:history="0" w:anchor="P193" w:tooltip="МФЦ">
              <w:r>
                <w:rPr>
                  <w:sz w:val="20"/>
                  <w:color w:val="0000ff"/>
                </w:rPr>
                <w:t xml:space="preserve">МФЦ</w:t>
              </w:r>
            </w:hyperlink>
          </w:p>
        </w:tc>
      </w:tr>
      <w:tr>
        <w:tc>
          <w:tcPr>
            <w:tcW w:w="4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hyperlink w:history="0" w:anchor="P228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1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  <w:tc>
          <w:tcPr>
            <w:tcW w:w="3798" w:type="dxa"/>
          </w:tcPr>
          <w:p>
            <w:pPr>
              <w:pStyle w:val="0"/>
            </w:pPr>
            <w:r>
              <w:rPr>
                <w:sz w:val="20"/>
              </w:rPr>
              <w:t xml:space="preserve">Разрешение на строительство, выданное министерством природных ресурсов и экологии области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На бумажном носителе (1 экз.) Через </w:t>
            </w:r>
            <w:hyperlink w:history="0" w:anchor="P187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 - электронная форма с </w:t>
            </w:r>
            <w:hyperlink w:history="0" w:anchor="P189" w:tooltip="ЭЦП">
              <w:r>
                <w:rPr>
                  <w:sz w:val="20"/>
                  <w:color w:val="0000ff"/>
                </w:rPr>
                <w:t xml:space="preserve">ЭЦП</w:t>
              </w:r>
            </w:hyperlink>
          </w:p>
        </w:tc>
        <w:tc>
          <w:tcPr>
            <w:tcW w:w="1426" w:type="dxa"/>
          </w:tcPr>
          <w:p>
            <w:pPr>
              <w:pStyle w:val="0"/>
            </w:pPr>
            <w:hyperlink w:history="0" w:anchor="P191" w:tooltip="ЛО">
              <w:r>
                <w:rPr>
                  <w:sz w:val="20"/>
                  <w:color w:val="0000ff"/>
                </w:rPr>
                <w:t xml:space="preserve">ЛО</w:t>
              </w:r>
            </w:hyperlink>
            <w:r>
              <w:rPr>
                <w:sz w:val="20"/>
              </w:rPr>
              <w:t xml:space="preserve">, </w:t>
            </w:r>
            <w:hyperlink w:history="0" w:anchor="P187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, </w:t>
            </w:r>
            <w:hyperlink w:history="0" w:anchor="P193" w:tooltip="МФЦ">
              <w:r>
                <w:rPr>
                  <w:sz w:val="20"/>
                  <w:color w:val="0000ff"/>
                </w:rPr>
                <w:t xml:space="preserve">МФЦ</w:t>
              </w:r>
            </w:hyperlink>
          </w:p>
        </w:tc>
      </w:tr>
      <w:tr>
        <w:tc>
          <w:tcPr>
            <w:tcW w:w="4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hyperlink w:history="0" w:anchor="P228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1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  <w:tc>
          <w:tcPr>
            <w:tcW w:w="3798" w:type="dxa"/>
          </w:tcPr>
          <w:p>
            <w:pPr>
              <w:pStyle w:val="0"/>
            </w:pPr>
            <w:r>
              <w:rPr>
                <w:sz w:val="20"/>
              </w:rPr>
              <w:t xml:space="preserve"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На бумажном носителе (1 экз.) Через </w:t>
            </w:r>
            <w:hyperlink w:history="0" w:anchor="P187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 - электронная форма с </w:t>
            </w:r>
            <w:hyperlink w:history="0" w:anchor="P189" w:tooltip="ЭЦП">
              <w:r>
                <w:rPr>
                  <w:sz w:val="20"/>
                  <w:color w:val="0000ff"/>
                </w:rPr>
                <w:t xml:space="preserve">ЭЦП</w:t>
              </w:r>
            </w:hyperlink>
          </w:p>
        </w:tc>
        <w:tc>
          <w:tcPr>
            <w:tcW w:w="1426" w:type="dxa"/>
          </w:tcPr>
          <w:p>
            <w:pPr>
              <w:pStyle w:val="0"/>
            </w:pPr>
            <w:hyperlink w:history="0" w:anchor="P191" w:tooltip="ЛО">
              <w:r>
                <w:rPr>
                  <w:sz w:val="20"/>
                  <w:color w:val="0000ff"/>
                </w:rPr>
                <w:t xml:space="preserve">ЛО</w:t>
              </w:r>
            </w:hyperlink>
            <w:r>
              <w:rPr>
                <w:sz w:val="20"/>
              </w:rPr>
              <w:t xml:space="preserve">, </w:t>
            </w:r>
            <w:hyperlink w:history="0" w:anchor="P187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, </w:t>
            </w:r>
            <w:hyperlink w:history="0" w:anchor="P193" w:tooltip="МФЦ">
              <w:r>
                <w:rPr>
                  <w:sz w:val="20"/>
                  <w:color w:val="0000ff"/>
                </w:rPr>
                <w:t xml:space="preserve">МФЦ</w:t>
              </w:r>
            </w:hyperlink>
          </w:p>
        </w:tc>
      </w:tr>
      <w:tr>
        <w:tc>
          <w:tcPr>
            <w:tcW w:w="4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hyperlink w:history="0" w:anchor="P228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1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  <w:tc>
          <w:tcPr>
            <w:tcW w:w="3798" w:type="dxa"/>
          </w:tcPr>
          <w:p>
            <w:pPr>
              <w:pStyle w:val="0"/>
            </w:pPr>
            <w:r>
              <w:rPr>
                <w:sz w:val="20"/>
              </w:rPr>
              <w:t xml:space="preserve"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На бумажном носителе (1 экз.) Через </w:t>
            </w:r>
            <w:hyperlink w:history="0" w:anchor="P187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 - электронная форма с </w:t>
            </w:r>
            <w:hyperlink w:history="0" w:anchor="P189" w:tooltip="ЭЦП">
              <w:r>
                <w:rPr>
                  <w:sz w:val="20"/>
                  <w:color w:val="0000ff"/>
                </w:rPr>
                <w:t xml:space="preserve">ЭЦП</w:t>
              </w:r>
            </w:hyperlink>
          </w:p>
        </w:tc>
        <w:tc>
          <w:tcPr>
            <w:tcW w:w="1426" w:type="dxa"/>
          </w:tcPr>
          <w:p>
            <w:pPr>
              <w:pStyle w:val="0"/>
            </w:pPr>
            <w:hyperlink w:history="0" w:anchor="P191" w:tooltip="ЛО">
              <w:r>
                <w:rPr>
                  <w:sz w:val="20"/>
                  <w:color w:val="0000ff"/>
                </w:rPr>
                <w:t xml:space="preserve">ЛО</w:t>
              </w:r>
            </w:hyperlink>
            <w:r>
              <w:rPr>
                <w:sz w:val="20"/>
              </w:rPr>
              <w:t xml:space="preserve">, </w:t>
            </w:r>
            <w:hyperlink w:history="0" w:anchor="P187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, </w:t>
            </w:r>
            <w:hyperlink w:history="0" w:anchor="P193" w:tooltip="МФЦ">
              <w:r>
                <w:rPr>
                  <w:sz w:val="20"/>
                  <w:color w:val="0000ff"/>
                </w:rPr>
                <w:t xml:space="preserve">МФЦ</w:t>
              </w:r>
            </w:hyperlink>
          </w:p>
        </w:tc>
      </w:tr>
      <w:tr>
        <w:tc>
          <w:tcPr>
            <w:tcW w:w="4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hyperlink w:history="0" w:anchor="P228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1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  <w:tc>
          <w:tcPr>
            <w:tcW w:w="3798" w:type="dxa"/>
          </w:tcPr>
          <w:p>
            <w:pPr>
              <w:pStyle w:val="0"/>
            </w:pPr>
            <w:r>
              <w:rPr>
                <w:sz w:val="20"/>
              </w:rPr>
              <w:t xml:space="preserve">Реквизиты заключения органа государственного строительного надзора (в случае, если предусмотрено осуществление государственного строительного надзора в соответствии с </w:t>
            </w:r>
            <w:hyperlink w:history="0" r:id="rId55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частью 1 статьи 54</w:t>
              </w:r>
            </w:hyperlink>
            <w:r>
              <w:rPr>
                <w:sz w:val="20"/>
              </w:rPr>
              <w:t xml:space="preserve"> Градостроительного кодекса РФ) о соответствии построенного, реконструированного объекта капитального строительства указанным в </w:t>
            </w:r>
            <w:hyperlink w:history="0" r:id="rId56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пункте 1 части 5 статьи 49</w:t>
              </w:r>
            </w:hyperlink>
            <w:r>
              <w:rPr>
                <w:sz w:val="20"/>
              </w:rPr>
              <w:t xml:space="preserve"> Градостроительного кодекса РФ требованиям проектной документации (в том числе с учетом изменений, внесенных в рабочую документацию и являющихся в соответствии с </w:t>
            </w:r>
            <w:hyperlink w:history="0" r:id="rId57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частью 1.3 статьи 52</w:t>
              </w:r>
            </w:hyperlink>
            <w:r>
              <w:rPr>
                <w:sz w:val="20"/>
              </w:rPr>
              <w:t xml:space="preserve"> Градостроительного кодекса РФ частью такой проектной документации), реквизиты заключения уполномоченного на осуществление федерального государственного экологического контроля (надзора) федерального органа исполнительной власти, выдаваемого в случаях, предусмотренных </w:t>
            </w:r>
            <w:hyperlink w:history="0" r:id="rId58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частью 5 статьи 54</w:t>
              </w:r>
            </w:hyperlink>
            <w:r>
              <w:rPr>
                <w:sz w:val="20"/>
              </w:rPr>
              <w:t xml:space="preserve"> настоящего Кодекса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На бумажном носителе (1 экз.) Через </w:t>
            </w:r>
            <w:hyperlink w:history="0" w:anchor="P187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 - электронная форма с </w:t>
            </w:r>
            <w:hyperlink w:history="0" w:anchor="P189" w:tooltip="ЭЦП">
              <w:r>
                <w:rPr>
                  <w:sz w:val="20"/>
                  <w:color w:val="0000ff"/>
                </w:rPr>
                <w:t xml:space="preserve">ЭЦП</w:t>
              </w:r>
            </w:hyperlink>
          </w:p>
        </w:tc>
        <w:tc>
          <w:tcPr>
            <w:tcW w:w="1426" w:type="dxa"/>
          </w:tcPr>
          <w:p>
            <w:pPr>
              <w:pStyle w:val="0"/>
            </w:pPr>
            <w:hyperlink w:history="0" w:anchor="P191" w:tooltip="ЛО">
              <w:r>
                <w:rPr>
                  <w:sz w:val="20"/>
                  <w:color w:val="0000ff"/>
                </w:rPr>
                <w:t xml:space="preserve">ЛО</w:t>
              </w:r>
            </w:hyperlink>
            <w:r>
              <w:rPr>
                <w:sz w:val="20"/>
              </w:rPr>
              <w:t xml:space="preserve">, </w:t>
            </w:r>
            <w:hyperlink w:history="0" w:anchor="P187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, </w:t>
            </w:r>
            <w:hyperlink w:history="0" w:anchor="P193" w:tooltip="МФЦ">
              <w:r>
                <w:rPr>
                  <w:sz w:val="20"/>
                  <w:color w:val="0000ff"/>
                </w:rPr>
                <w:t xml:space="preserve">МФЦ</w:t>
              </w:r>
            </w:hyperlink>
          </w:p>
        </w:tc>
      </w:tr>
      <w:tr>
        <w:tc>
          <w:tcPr>
            <w:tcW w:w="4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hyperlink w:history="0" w:anchor="P228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1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  <w:tc>
          <w:tcPr>
            <w:tcW w:w="3798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Технический план объекта капитального строительства, подготовленный в соответствии с Федеральным </w:t>
            </w:r>
            <w:hyperlink w:history="0" r:id="rId59" w:tooltip="Федеральный закон от 13.07.2015 N 218-ФЗ (ред. от 25.05.2026) &quot;О государственной регистрации недвижимости&quot;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13 июля 2015 года N 218-ФЗ "О государственной регистрации недвижимости", за исключением ввода в эксплуатацию объекта капитального строительства, в отношении которого в соответствии с Федеральным </w:t>
            </w:r>
            <w:hyperlink w:history="0" r:id="rId60" w:tooltip="Федеральный закон от 02.11.2023 N 509-ФЗ &quot;Об особенностях оформления прав на отдельные виды объектов недвижимости и о внесении изменений в отдельные законодательные акты Российской Федерации&quot;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"Об особенностях оформления прав на отдельные виды объектов недвижимости и о внесении изменений в отдельные законодательные акты Российской Федерации" государственный кадастровый учет и (или) государственная регистрация прав не осуществляются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На бумажном носителе (1 экз.) Через </w:t>
            </w:r>
            <w:hyperlink w:history="0" w:anchor="P187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 - электронная форма с </w:t>
            </w:r>
            <w:hyperlink w:history="0" w:anchor="P189" w:tooltip="ЭЦП">
              <w:r>
                <w:rPr>
                  <w:sz w:val="20"/>
                  <w:color w:val="0000ff"/>
                </w:rPr>
                <w:t xml:space="preserve">ЭЦП</w:t>
              </w:r>
            </w:hyperlink>
          </w:p>
        </w:tc>
        <w:tc>
          <w:tcPr>
            <w:tcW w:w="1426" w:type="dxa"/>
          </w:tcPr>
          <w:p>
            <w:pPr>
              <w:pStyle w:val="0"/>
            </w:pPr>
            <w:hyperlink w:history="0" w:anchor="P191" w:tooltip="ЛО">
              <w:r>
                <w:rPr>
                  <w:sz w:val="20"/>
                  <w:color w:val="0000ff"/>
                </w:rPr>
                <w:t xml:space="preserve">ЛО</w:t>
              </w:r>
            </w:hyperlink>
            <w:r>
              <w:rPr>
                <w:sz w:val="20"/>
              </w:rPr>
              <w:t xml:space="preserve">, </w:t>
            </w:r>
            <w:hyperlink w:history="0" w:anchor="P187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, </w:t>
            </w:r>
            <w:hyperlink w:history="0" w:anchor="P193" w:tooltip="МФЦ">
              <w:r>
                <w:rPr>
                  <w:sz w:val="20"/>
                  <w:color w:val="0000ff"/>
                </w:rPr>
                <w:t xml:space="preserve">МФЦ</w:t>
              </w:r>
            </w:hyperlink>
          </w:p>
        </w:tc>
      </w:tr>
      <w:tr>
        <w:tc>
          <w:tcPr>
            <w:gridSpan w:val="5"/>
            <w:tcW w:w="9030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Документы, запрашиваемые министерством в рамках межведомственного информационного взаимодействия</w:t>
            </w:r>
          </w:p>
        </w:tc>
      </w:tr>
      <w:tr>
        <w:tc>
          <w:tcPr>
            <w:tcW w:w="4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798" w:type="dxa"/>
          </w:tcPr>
          <w:p>
            <w:pPr>
              <w:pStyle w:val="0"/>
            </w:pPr>
            <w:r>
              <w:rPr>
                <w:sz w:val="20"/>
              </w:rPr>
              <w:t xml:space="preserve">Правоустанавливающие документы на земельный участок, права на который зарегистрированы в Едином государственном реестре недвижимости, в том числе соглашение об установлении сервитута, решение об установлении публичного сервитута;</w:t>
            </w:r>
          </w:p>
          <w:p>
            <w:pPr>
              <w:pStyle w:val="0"/>
            </w:pPr>
            <w:r>
              <w:rPr>
                <w:sz w:val="20"/>
              </w:rPr>
              <w:t xml:space="preserve">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</w:t>
            </w:r>
            <w:hyperlink w:history="0" r:id="rId61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частью 1 статьи 54</w:t>
              </w:r>
            </w:hyperlink>
            <w:r>
              <w:rPr>
                <w:sz w:val="20"/>
              </w:rPr>
              <w:t xml:space="preserve"> Градостроительного кодекса РФ) о соответствии построенного, реконструированного объекта капитального строительства указанным в </w:t>
            </w:r>
            <w:hyperlink w:history="0" r:id="rId62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пункте 1 части 5 статьи 49</w:t>
              </w:r>
            </w:hyperlink>
            <w:r>
              <w:rPr>
                <w:sz w:val="20"/>
              </w:rPr>
              <w:t xml:space="preserve"> Градостроительного кодекса РФ требованиям проектной документации (в том числе с учетом изменений, внесенных в рабочую документацию и являющихся в соответствии с </w:t>
            </w:r>
            <w:hyperlink w:history="0" r:id="rId63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частью 1.3 статьи 52</w:t>
              </w:r>
            </w:hyperlink>
            <w:r>
              <w:rPr>
                <w:sz w:val="20"/>
              </w:rPr>
              <w:t xml:space="preserve"> Градостроительного кодекса РФ частью такой проектной документации), заключение органа федерального государственного экологического контроля (надзора), выдаваемое в случаях, предусмотренных </w:t>
            </w:r>
            <w:hyperlink w:history="0" r:id="rId64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частью 5 статьи 54</w:t>
              </w:r>
            </w:hyperlink>
            <w:r>
              <w:rPr>
                <w:sz w:val="20"/>
              </w:rPr>
              <w:t xml:space="preserve"> Градостроительного кодекса РФ;</w:t>
            </w:r>
          </w:p>
          <w:p>
            <w:pPr>
              <w:pStyle w:val="0"/>
            </w:pPr>
            <w:r>
              <w:rPr>
                <w:sz w:val="20"/>
              </w:rPr>
              <w:t xml:space="preserve"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      </w:r>
          </w:p>
          <w:p>
            <w:pPr>
              <w:pStyle w:val="0"/>
            </w:pPr>
            <w:r>
              <w:rPr>
                <w:sz w:val="20"/>
              </w:rPr>
              <w:t xml:space="preserve"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На бумажном носителе (1 экз.) Через </w:t>
            </w:r>
            <w:hyperlink w:history="0" w:anchor="P187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 - электронная форма с </w:t>
            </w:r>
            <w:hyperlink w:history="0" w:anchor="P189" w:tooltip="ЭЦП">
              <w:r>
                <w:rPr>
                  <w:sz w:val="20"/>
                  <w:color w:val="0000ff"/>
                </w:rPr>
                <w:t xml:space="preserve">ЭЦП</w:t>
              </w:r>
            </w:hyperlink>
          </w:p>
        </w:tc>
        <w:tc>
          <w:tcPr>
            <w:tcW w:w="1426" w:type="dxa"/>
          </w:tcPr>
          <w:p>
            <w:pPr>
              <w:pStyle w:val="0"/>
            </w:pPr>
            <w:hyperlink w:history="0" w:anchor="P191" w:tooltip="ЛО">
              <w:r>
                <w:rPr>
                  <w:sz w:val="20"/>
                  <w:color w:val="0000ff"/>
                </w:rPr>
                <w:t xml:space="preserve">ЛО</w:t>
              </w:r>
            </w:hyperlink>
            <w:r>
              <w:rPr>
                <w:sz w:val="20"/>
              </w:rPr>
              <w:t xml:space="preserve">, </w:t>
            </w:r>
            <w:hyperlink w:history="0" w:anchor="P187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, </w:t>
            </w:r>
            <w:hyperlink w:history="0" w:anchor="P193" w:tooltip="МФЦ">
              <w:r>
                <w:rPr>
                  <w:sz w:val="20"/>
                  <w:color w:val="0000ff"/>
                </w:rPr>
                <w:t xml:space="preserve">МФЦ</w:t>
              </w:r>
            </w:hyperlink>
          </w:p>
        </w:tc>
      </w:tr>
      <w:tr>
        <w:tc>
          <w:tcPr>
            <w:gridSpan w:val="5"/>
            <w:tcW w:w="9030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</w:p>
        </w:tc>
      </w:tr>
      <w:tr>
        <w:tc>
          <w:tcPr>
            <w:tcW w:w="4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hyperlink w:history="0" w:anchor="P228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1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  <w:tc>
          <w:tcPr>
            <w:tcW w:w="3798" w:type="dxa"/>
          </w:tcPr>
          <w:p>
            <w:pPr>
              <w:pStyle w:val="0"/>
            </w:pPr>
            <w:r>
              <w:rPr>
                <w:sz w:val="20"/>
              </w:rPr>
              <w:t xml:space="preserve">Правоустанавливающие документы на земельный участок, права на который зарегистрированы в Едином государственном реестре недвижимости, в том числе соглашение об установлении сервитута, решение об установлении публичного сервитута;</w:t>
            </w:r>
          </w:p>
          <w:p>
            <w:pPr>
              <w:pStyle w:val="0"/>
            </w:pPr>
            <w:r>
              <w:rPr>
                <w:sz w:val="20"/>
              </w:rPr>
              <w:t xml:space="preserve">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</w:t>
            </w:r>
            <w:hyperlink w:history="0" r:id="rId65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частью 1 статьи 54</w:t>
              </w:r>
            </w:hyperlink>
            <w:r>
              <w:rPr>
                <w:sz w:val="20"/>
              </w:rPr>
              <w:t xml:space="preserve"> Градостроительного кодекса РФ) о соответствии построенного, реконструированного объекта капитального строительства указанным в </w:t>
            </w:r>
            <w:hyperlink w:history="0" r:id="rId66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пункте 1 части 5 статьи 49</w:t>
              </w:r>
            </w:hyperlink>
            <w:r>
              <w:rPr>
                <w:sz w:val="20"/>
              </w:rPr>
              <w:t xml:space="preserve"> Градостроительного кодекса РФ требованиям проектной документации (в том числе с учетом изменений, внесенных в рабочую документацию и являющихся в соответствии с </w:t>
            </w:r>
            <w:hyperlink w:history="0" r:id="rId67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частью 1.3 статьи 52</w:t>
              </w:r>
            </w:hyperlink>
            <w:r>
              <w:rPr>
                <w:sz w:val="20"/>
              </w:rPr>
              <w:t xml:space="preserve"> Градостроительного кодекса РФ частью такой проектной документации), заключение органа федерального государственного экологического контроля (надзора), выдаваемое в случаях, предусмотренных </w:t>
            </w:r>
            <w:hyperlink w:history="0" r:id="rId68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частью 5 статьи 54</w:t>
              </w:r>
            </w:hyperlink>
            <w:r>
              <w:rPr>
                <w:sz w:val="20"/>
              </w:rPr>
              <w:t xml:space="preserve"> Градостроительного кодекса РФ;</w:t>
            </w:r>
          </w:p>
          <w:p>
            <w:pPr>
              <w:pStyle w:val="0"/>
            </w:pPr>
            <w:r>
              <w:rPr>
                <w:sz w:val="20"/>
              </w:rPr>
              <w:t xml:space="preserve"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      </w:r>
          </w:p>
          <w:p>
            <w:pPr>
              <w:pStyle w:val="0"/>
            </w:pPr>
            <w:r>
              <w:rPr>
                <w:sz w:val="20"/>
              </w:rPr>
              <w:t xml:space="preserve"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  <w:t xml:space="preserve">На бумажном носителе (1 экз.) Через </w:t>
            </w:r>
            <w:hyperlink w:history="0" w:anchor="P187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 - электронная форма с </w:t>
            </w:r>
            <w:hyperlink w:history="0" w:anchor="P189" w:tooltip="ЭЦП">
              <w:r>
                <w:rPr>
                  <w:sz w:val="20"/>
                  <w:color w:val="0000ff"/>
                </w:rPr>
                <w:t xml:space="preserve">ЭЦП</w:t>
              </w:r>
            </w:hyperlink>
          </w:p>
        </w:tc>
        <w:tc>
          <w:tcPr>
            <w:tcW w:w="1426" w:type="dxa"/>
          </w:tcPr>
          <w:p>
            <w:pPr>
              <w:pStyle w:val="0"/>
            </w:pPr>
            <w:hyperlink w:history="0" w:anchor="P191" w:tooltip="ЛО">
              <w:r>
                <w:rPr>
                  <w:sz w:val="20"/>
                  <w:color w:val="0000ff"/>
                </w:rPr>
                <w:t xml:space="preserve">ЛО</w:t>
              </w:r>
            </w:hyperlink>
            <w:r>
              <w:rPr>
                <w:sz w:val="20"/>
              </w:rPr>
              <w:t xml:space="preserve">, </w:t>
            </w:r>
            <w:hyperlink w:history="0" w:anchor="P187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, </w:t>
            </w:r>
            <w:hyperlink w:history="0" w:anchor="P193" w:tooltip="МФЦ">
              <w:r>
                <w:rPr>
                  <w:sz w:val="20"/>
                  <w:color w:val="0000ff"/>
                </w:rPr>
                <w:t xml:space="preserve">МФЦ</w:t>
              </w:r>
            </w:hyperlink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4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both"/>
      </w:pPr>
      <w:r>
        <w:rPr>
          <w:sz w:val="20"/>
        </w:rPr>
      </w:r>
    </w:p>
    <w:bookmarkStart w:id="315" w:name="P315"/>
    <w:bookmarkEnd w:id="315"/>
    <w:p>
      <w:pPr>
        <w:pStyle w:val="2"/>
        <w:jc w:val="center"/>
      </w:pPr>
      <w:r>
        <w:rPr>
          <w:sz w:val="20"/>
        </w:rPr>
        <w:t xml:space="preserve">ИСЧЕРПЫВАЮЩИЙ ПЕРЕЧЕНЬ ОСНОВАНИЙ</w:t>
      </w:r>
    </w:p>
    <w:p>
      <w:pPr>
        <w:pStyle w:val="2"/>
        <w:jc w:val="center"/>
      </w:pPr>
      <w:r>
        <w:rPr>
          <w:sz w:val="20"/>
        </w:rPr>
        <w:t xml:space="preserve">ДЛЯ ОТКАЗА В ПРИЕМЕ ЗАЯВЛЕНИЯ О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И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ГОСУДАРСТВЕННОЙ УСЛУГИ, ОСНОВАНИЙ</w:t>
      </w:r>
    </w:p>
    <w:p>
      <w:pPr>
        <w:pStyle w:val="2"/>
        <w:jc w:val="center"/>
      </w:pPr>
      <w:r>
        <w:rPr>
          <w:sz w:val="20"/>
        </w:rPr>
        <w:t xml:space="preserve">ДЛЯ ПРИОСТАНОВЛЕНИЯ ПРЕДОСТАВЛЕНИЯ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ИЛИ ОСНОВАНИЙ ДЛЯ ОТКАЗА В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030"/>
        <w:gridCol w:w="1984"/>
      </w:tblGrid>
      <w:tr>
        <w:tc>
          <w:tcPr>
            <w:tcW w:w="703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Основания для отказа (приостановления)</w:t>
            </w:r>
          </w:p>
        </w:tc>
        <w:tc>
          <w:tcPr>
            <w:tcW w:w="198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Категория заявителя, идентификатор категории (признака) заявителя</w:t>
            </w:r>
          </w:p>
        </w:tc>
      </w:tr>
      <w:tr>
        <w:tc>
          <w:tcPr>
            <w:gridSpan w:val="2"/>
            <w:tcW w:w="9014" w:type="dxa"/>
            <w:vAlign w:val="bottom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Основания для отказа в приеме заявления и документов</w:t>
            </w:r>
          </w:p>
        </w:tc>
      </w:tr>
      <w:tr>
        <w:tc>
          <w:tcPr>
            <w:tcW w:w="7030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Основания для отказа в приеме заявления и документов для предоставления государственной услуги не предусмотрены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hyperlink w:history="0" w:anchor="P228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1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</w:tr>
      <w:tr>
        <w:tc>
          <w:tcPr>
            <w:gridSpan w:val="2"/>
            <w:tcW w:w="9014" w:type="dxa"/>
            <w:vAlign w:val="bottom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Основания для приостановления предоставления Государственной услуги</w:t>
            </w:r>
          </w:p>
        </w:tc>
      </w:tr>
      <w:tr>
        <w:tc>
          <w:tcPr>
            <w:tcW w:w="7030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Основания для приостановления предоставления государственной услуги не предусмотрены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hyperlink w:history="0" w:anchor="P228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1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</w:tr>
      <w:tr>
        <w:tc>
          <w:tcPr>
            <w:gridSpan w:val="2"/>
            <w:tcW w:w="9014" w:type="dxa"/>
            <w:vAlign w:val="bottom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Основания для отказа в предоставлении Государственной услуги</w:t>
            </w:r>
          </w:p>
        </w:tc>
      </w:tr>
      <w:tr>
        <w:tc>
          <w:tcPr>
            <w:tcW w:w="7030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Отсутствие документов, предусмотренных в </w:t>
            </w:r>
            <w:hyperlink w:history="0" w:anchor="P240" w:tooltip="ИСЧЕРПЫВАЮЩИЙ ПЕРЕЧЕНЬ ДОКУМЕНТОВ,">
              <w:r>
                <w:rPr>
                  <w:sz w:val="20"/>
                  <w:color w:val="0000ff"/>
                </w:rPr>
                <w:t xml:space="preserve">приложении N 3</w:t>
              </w:r>
            </w:hyperlink>
            <w:r>
              <w:rPr>
                <w:sz w:val="20"/>
              </w:rPr>
              <w:t xml:space="preserve"> к Административному регламенту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hyperlink w:history="0" w:anchor="P228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1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</w:tr>
      <w:tr>
        <w:tc>
          <w:tcPr>
            <w:tcW w:w="7030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hyperlink w:history="0" w:anchor="P228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1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</w:tr>
      <w:tr>
        <w:tc>
          <w:tcPr>
            <w:tcW w:w="7030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 в соответствии с </w:t>
            </w:r>
            <w:hyperlink w:history="0" r:id="rId69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частью 6.2 статьи 55</w:t>
              </w:r>
            </w:hyperlink>
            <w:r>
              <w:rPr>
                <w:sz w:val="20"/>
              </w:rPr>
              <w:t xml:space="preserve"> Градостроительного кодекса РФ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hyperlink w:history="0" w:anchor="P228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1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</w:tr>
      <w:tr>
        <w:tc>
          <w:tcPr>
            <w:tcW w:w="7030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 протяженности линейного объекта в соответствии с </w:t>
            </w:r>
            <w:hyperlink w:history="0" r:id="rId70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частью 6.2 статьи 55</w:t>
              </w:r>
            </w:hyperlink>
            <w:r>
              <w:rPr>
                <w:sz w:val="20"/>
              </w:rPr>
              <w:t xml:space="preserve"> Градостроительного кодекса РФ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hyperlink w:history="0" w:anchor="P228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1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</w:tr>
      <w:tr>
        <w:tc>
          <w:tcPr>
            <w:tcW w:w="7030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</w:t>
            </w:r>
            <w:hyperlink w:history="0" r:id="rId71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пунктом 9 части 7 статьи 51</w:t>
              </w:r>
            </w:hyperlink>
            <w:r>
              <w:rPr>
                <w:sz w:val="20"/>
              </w:rPr>
              <w:t xml:space="preserve"> Градостроительного кодекса РФ,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hyperlink w:history="0" w:anchor="P228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1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5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both"/>
      </w:pPr>
      <w:r>
        <w:rPr>
          <w:sz w:val="20"/>
        </w:rPr>
      </w:r>
    </w:p>
    <w:bookmarkStart w:id="350" w:name="P350"/>
    <w:bookmarkEnd w:id="350"/>
    <w:p>
      <w:pPr>
        <w:pStyle w:val="0"/>
        <w:jc w:val="center"/>
      </w:pPr>
      <w:r>
        <w:rPr>
          <w:sz w:val="20"/>
        </w:rPr>
        <w:t xml:space="preserve">Форма</w:t>
      </w:r>
    </w:p>
    <w:p>
      <w:pPr>
        <w:pStyle w:val="0"/>
        <w:jc w:val="center"/>
      </w:pPr>
      <w:r>
        <w:rPr>
          <w:sz w:val="20"/>
        </w:rPr>
        <w:t xml:space="preserve">заявления о предоставлении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(оформляется на фирменном бланке Заявителя (при наличии))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Исх. от _______ N _____              Министру природных ресурсов и экологии</w:t>
      </w:r>
    </w:p>
    <w:p>
      <w:pPr>
        <w:pStyle w:val="1"/>
        <w:jc w:val="both"/>
      </w:pPr>
      <w:r>
        <w:rPr>
          <w:sz w:val="20"/>
        </w:rPr>
        <w:t xml:space="preserve">         (дата)                      Саратовской области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о предоставлении государственной услуги по выдаче разрешения на ввод</w:t>
      </w:r>
    </w:p>
    <w:p>
      <w:pPr>
        <w:pStyle w:val="1"/>
        <w:jc w:val="both"/>
      </w:pPr>
      <w:r>
        <w:rPr>
          <w:sz w:val="20"/>
        </w:rPr>
        <w:t xml:space="preserve">                          объекта в эксплуатацию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  в   соответствии   со   </w:t>
      </w:r>
      <w:hyperlink w:history="0" r:id="rId72" w:tooltip="&quot;Градостроительный кодекс Российской Федерации&quot; от 29.12.2004 N 190-ФЗ (ред. от 23.03.2026) (с изм. и доп., вступ. в силу с 01.07.2026) {КонсультантПлюс}">
        <w:r>
          <w:rPr>
            <w:sz w:val="20"/>
            <w:color w:val="0000ff"/>
          </w:rPr>
          <w:t xml:space="preserve">статьей  55</w:t>
        </w:r>
      </w:hyperlink>
      <w:r>
        <w:rPr>
          <w:sz w:val="20"/>
        </w:rPr>
        <w:t xml:space="preserve">  Градостроительного кодекса</w:t>
      </w:r>
    </w:p>
    <w:p>
      <w:pPr>
        <w:pStyle w:val="1"/>
        <w:jc w:val="both"/>
      </w:pPr>
      <w:r>
        <w:rPr>
          <w:sz w:val="20"/>
        </w:rPr>
        <w:t xml:space="preserve">Российской Федерации выдать 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(разрешение на ввод в эксплуатацию объекта капитального</w:t>
      </w:r>
    </w:p>
    <w:p>
      <w:pPr>
        <w:pStyle w:val="1"/>
        <w:jc w:val="both"/>
      </w:pPr>
      <w:r>
        <w:rPr>
          <w:sz w:val="20"/>
        </w:rPr>
        <w:t xml:space="preserve"> строительства/разрешение на ввод объекта в эксплуатацию в отношении этапа</w:t>
      </w:r>
    </w:p>
    <w:p>
      <w:pPr>
        <w:pStyle w:val="1"/>
        <w:jc w:val="both"/>
      </w:pPr>
      <w:r>
        <w:rPr>
          <w:sz w:val="20"/>
        </w:rPr>
        <w:t xml:space="preserve">     строительства, реконструкции объекта капитального строительства)</w:t>
      </w:r>
    </w:p>
    <w:p>
      <w:pPr>
        <w:pStyle w:val="1"/>
        <w:jc w:val="both"/>
      </w:pPr>
      <w:r>
        <w:rPr>
          <w:sz w:val="20"/>
        </w:rPr>
        <w:t xml:space="preserve">    Наименование  объекта  капитального строительства, этапа строительства,</w:t>
      </w:r>
    </w:p>
    <w:p>
      <w:pPr>
        <w:pStyle w:val="1"/>
        <w:jc w:val="both"/>
      </w:pPr>
      <w:r>
        <w:rPr>
          <w:sz w:val="20"/>
        </w:rPr>
        <w:t xml:space="preserve">реконструкции объекта капитального строительства 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Адрес объекта капитального строительства 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(при наличии - адрес объекта капитального строительства в соответствии с</w:t>
      </w:r>
    </w:p>
    <w:p>
      <w:pPr>
        <w:pStyle w:val="1"/>
        <w:jc w:val="both"/>
      </w:pPr>
      <w:r>
        <w:rPr>
          <w:sz w:val="20"/>
        </w:rPr>
        <w:t xml:space="preserve">   государственным адресным реестром с указанием реквизитов документов о</w:t>
      </w:r>
    </w:p>
    <w:p>
      <w:pPr>
        <w:pStyle w:val="1"/>
        <w:jc w:val="both"/>
      </w:pPr>
      <w:r>
        <w:rPr>
          <w:sz w:val="20"/>
        </w:rPr>
        <w:t xml:space="preserve">присвоении, об изменении адреса; для линейных объектов - указывается адрес,</w:t>
      </w:r>
    </w:p>
    <w:p>
      <w:pPr>
        <w:pStyle w:val="1"/>
        <w:jc w:val="both"/>
      </w:pPr>
      <w:r>
        <w:rPr>
          <w:sz w:val="20"/>
        </w:rPr>
        <w:t xml:space="preserve">  состоящий из наименований субъекта Российской Федерации и муниципальных</w:t>
      </w:r>
    </w:p>
    <w:p>
      <w:pPr>
        <w:pStyle w:val="1"/>
        <w:jc w:val="both"/>
      </w:pPr>
      <w:r>
        <w:rPr>
          <w:sz w:val="20"/>
        </w:rPr>
        <w:t xml:space="preserve">                               образований)</w:t>
      </w:r>
    </w:p>
    <w:p>
      <w:pPr>
        <w:pStyle w:val="1"/>
        <w:jc w:val="both"/>
      </w:pPr>
      <w:r>
        <w:rPr>
          <w:sz w:val="20"/>
        </w:rPr>
        <w:t xml:space="preserve">    Кадастровый  номер  земельного  участка/кадастровый  квартал земельного</w:t>
      </w:r>
    </w:p>
    <w:p>
      <w:pPr>
        <w:pStyle w:val="1"/>
        <w:jc w:val="both"/>
      </w:pPr>
      <w:r>
        <w:rPr>
          <w:sz w:val="20"/>
        </w:rPr>
        <w:t xml:space="preserve">участка (для линейных объектов) 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Ввод объекта в эксплуатацию будет осуществляться на основании следующих</w:t>
      </w:r>
    </w:p>
    <w:p>
      <w:pPr>
        <w:pStyle w:val="1"/>
        <w:jc w:val="both"/>
      </w:pPr>
      <w:r>
        <w:rPr>
          <w:sz w:val="20"/>
        </w:rPr>
        <w:t xml:space="preserve">документов  (информация о документах приводится с учетом </w:t>
      </w:r>
      <w:hyperlink w:history="0" r:id="rId73" w:tooltip="&quot;Градостроительный кодекс Российской Федерации&quot; от 29.12.2004 N 190-ФЗ (ред. от 23.03.2026) (с изм. и доп., вступ. в силу с 01.07.2026) {КонсультантПлюс}">
        <w:r>
          <w:rPr>
            <w:sz w:val="20"/>
            <w:color w:val="0000ff"/>
          </w:rPr>
          <w:t xml:space="preserve">частей 3</w:t>
        </w:r>
      </w:hyperlink>
      <w:r>
        <w:rPr>
          <w:sz w:val="20"/>
        </w:rPr>
        <w:t xml:space="preserve">, </w:t>
      </w:r>
      <w:hyperlink w:history="0" r:id="rId74" w:tooltip="&quot;Градостроительный кодекс Российской Федерации&quot; от 29.12.2004 N 190-ФЗ (ред. от 23.03.2026) (с изм. и доп., вступ. в силу с 01.07.2026) {КонсультантПлюс}">
        <w:r>
          <w:rPr>
            <w:sz w:val="20"/>
            <w:color w:val="0000ff"/>
          </w:rPr>
          <w:t xml:space="preserve">3.5</w:t>
        </w:r>
      </w:hyperlink>
      <w:r>
        <w:rPr>
          <w:sz w:val="20"/>
        </w:rPr>
        <w:t xml:space="preserve">, </w:t>
      </w:r>
      <w:hyperlink w:history="0" r:id="rId75" w:tooltip="&quot;Градостроительный кодекс Российской Федерации&quot; от 29.12.2004 N 190-ФЗ (ред. от 23.03.2026) (с изм. и доп., вступ. в силу с 01.07.2026) {КонсультантПлюс}">
        <w:r>
          <w:rPr>
            <w:sz w:val="20"/>
            <w:color w:val="0000ff"/>
          </w:rPr>
          <w:t xml:space="preserve">3.8</w:t>
        </w:r>
      </w:hyperlink>
    </w:p>
    <w:p>
      <w:pPr>
        <w:pStyle w:val="1"/>
        <w:jc w:val="both"/>
      </w:pPr>
      <w:r>
        <w:rPr>
          <w:sz w:val="20"/>
        </w:rPr>
        <w:t xml:space="preserve">статьи 55 Градостроительного кодекса Российской Федерации):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3062"/>
        <w:gridCol w:w="2778"/>
        <w:gridCol w:w="2608"/>
      </w:tblGrid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306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документа</w:t>
            </w:r>
          </w:p>
        </w:tc>
        <w:tc>
          <w:tcPr>
            <w:tcW w:w="277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и номер документа</w:t>
            </w:r>
          </w:p>
        </w:tc>
        <w:tc>
          <w:tcPr>
            <w:tcW w:w="2608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органа, выдавшего документ</w:t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6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В   соответствии   с  </w:t>
      </w:r>
      <w:hyperlink w:history="0" r:id="rId76" w:tooltip="&quot;Градостроительный кодекс Российской Федерации&quot; от 29.12.2004 N 190-ФЗ (ред. от 23.03.2026) (с изм. и доп., вступ. в силу с 01.07.2026) {КонсультантПлюс}">
        <w:r>
          <w:rPr>
            <w:sz w:val="20"/>
            <w:color w:val="0000ff"/>
          </w:rPr>
          <w:t xml:space="preserve">частью  3.6  статьи 55</w:t>
        </w:r>
      </w:hyperlink>
      <w:r>
        <w:rPr>
          <w:sz w:val="20"/>
        </w:rPr>
        <w:t xml:space="preserve"> Градостроительного кодекса</w:t>
      </w:r>
    </w:p>
    <w:p>
      <w:pPr>
        <w:pStyle w:val="1"/>
        <w:jc w:val="both"/>
      </w:pPr>
      <w:r>
        <w:rPr>
          <w:sz w:val="20"/>
        </w:rPr>
        <w:t xml:space="preserve">Российской Федерации застройщик &lt;1&gt; 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(необходимо указать информацию, предусмотренную </w:t>
      </w:r>
      <w:hyperlink w:history="0" r:id="rId77" w:tooltip="&quot;Градостроительный кодекс Российской Федерации&quot; от 29.12.2004 N 190-ФЗ (ред. от 23.03.2026) (с изм. и доп., вступ. в силу с 01.07.2026) {КонсультантПлюс}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 или </w:t>
      </w:r>
      <w:hyperlink w:history="0" r:id="rId78" w:tooltip="&quot;Градостроительный кодекс Российской Федерации&quot; от 29.12.2004 N 190-ФЗ (ред. от 23.03.2026) (с изм. и доп., вступ. в силу с 01.07.2026) {КонсультантПлюс}">
        <w:r>
          <w:rPr>
            <w:sz w:val="20"/>
            <w:color w:val="0000ff"/>
          </w:rPr>
          <w:t xml:space="preserve">2 части 3.6</w:t>
        </w:r>
      </w:hyperlink>
    </w:p>
    <w:p>
      <w:pPr>
        <w:pStyle w:val="1"/>
        <w:jc w:val="both"/>
      </w:pPr>
      <w:r>
        <w:rPr>
          <w:sz w:val="20"/>
        </w:rPr>
        <w:t xml:space="preserve"> статьи 55 Градостроительного кодекса Российской Федерации с учетом частей</w:t>
      </w:r>
    </w:p>
    <w:p>
      <w:pPr>
        <w:pStyle w:val="1"/>
        <w:jc w:val="both"/>
      </w:pPr>
      <w:r>
        <w:rPr>
          <w:sz w:val="20"/>
        </w:rPr>
        <w:t xml:space="preserve">    </w:t>
      </w:r>
      <w:hyperlink w:history="0" r:id="rId79" w:tooltip="&quot;Градостроительный кодекс Российской Федерации&quot; от 29.12.2004 N 190-ФЗ (ред. от 23.03.2026) (с изм. и доп., вступ. в силу с 01.07.2026) {КонсультантПлюс}">
        <w:r>
          <w:rPr>
            <w:sz w:val="20"/>
            <w:color w:val="0000ff"/>
          </w:rPr>
          <w:t xml:space="preserve">3.7</w:t>
        </w:r>
      </w:hyperlink>
      <w:r>
        <w:rPr>
          <w:sz w:val="20"/>
        </w:rPr>
        <w:t xml:space="preserve">, </w:t>
      </w:r>
      <w:hyperlink w:history="0" r:id="rId80" w:tooltip="&quot;Градостроительный кодекс Российской Федерации&quot; от 29.12.2004 N 190-ФЗ (ред. от 23.03.2026) (с изм. и доп., вступ. в силу с 01.07.2026) {КонсультантПлюс}">
        <w:r>
          <w:rPr>
            <w:sz w:val="20"/>
            <w:color w:val="0000ff"/>
          </w:rPr>
          <w:t xml:space="preserve">3.8 статьи 55</w:t>
        </w:r>
      </w:hyperlink>
      <w:r>
        <w:rPr>
          <w:sz w:val="20"/>
        </w:rPr>
        <w:t xml:space="preserve"> Градостроительного кодекса Российской Федерации)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(приводятся сведения об уплате государственной пошлины за осуществление</w:t>
      </w:r>
    </w:p>
    <w:p>
      <w:pPr>
        <w:pStyle w:val="1"/>
        <w:jc w:val="both"/>
      </w:pPr>
      <w:r>
        <w:rPr>
          <w:sz w:val="20"/>
        </w:rPr>
        <w:t xml:space="preserve">                     государственной регистрации прав)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(адрес (адреса) электронной почты для связи с застройщиком, иным лицом</w:t>
      </w:r>
    </w:p>
    <w:p>
      <w:pPr>
        <w:pStyle w:val="1"/>
        <w:jc w:val="both"/>
      </w:pPr>
      <w:r>
        <w:rPr>
          <w:sz w:val="20"/>
        </w:rPr>
        <w:t xml:space="preserve">   (иными лицами) в случае, если строительство или реконструкция здания,</w:t>
      </w:r>
    </w:p>
    <w:p>
      <w:pPr>
        <w:pStyle w:val="1"/>
        <w:jc w:val="both"/>
      </w:pPr>
      <w:r>
        <w:rPr>
          <w:sz w:val="20"/>
        </w:rPr>
        <w:t xml:space="preserve">        сооружения осуществлялись с привлечением средств иных лиц)</w:t>
      </w:r>
    </w:p>
    <w:p>
      <w:pPr>
        <w:pStyle w:val="1"/>
        <w:jc w:val="both"/>
      </w:pPr>
      <w:r>
        <w:rPr>
          <w:sz w:val="20"/>
        </w:rPr>
        <w:t xml:space="preserve">    К настоящему заявлению прилагаются следующие документы: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3062"/>
        <w:gridCol w:w="2778"/>
        <w:gridCol w:w="2608"/>
      </w:tblGrid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306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документа</w:t>
            </w:r>
          </w:p>
        </w:tc>
        <w:tc>
          <w:tcPr>
            <w:tcW w:w="2778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и номер документа, наименование органа, выдавшего документ</w:t>
            </w:r>
          </w:p>
        </w:tc>
        <w:tc>
          <w:tcPr>
            <w:tcW w:w="260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страниц</w:t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6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_________________            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(дата)                  (подпись, расшифровка подписи, печать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(при наличии))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природных ресурсов и экологии Саратовской области от 17.06.2014 N 280</w:t>
            <w:br/>
            <w:t>(ред. от 08.05.2026)</w:t>
            <w:br/>
            <w:t>"Об утвер...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358&amp;n=121195&amp;dst=100041" TargetMode = "External"/><Relationship Id="rId9" Type="http://schemas.openxmlformats.org/officeDocument/2006/relationships/hyperlink" Target="https://login.consultant.ru/link/?req=doc&amp;base=RLAW358&amp;n=145361&amp;dst=100051" TargetMode = "External"/><Relationship Id="rId10" Type="http://schemas.openxmlformats.org/officeDocument/2006/relationships/hyperlink" Target="https://login.consultant.ru/link/?req=doc&amp;base=RLAW358&amp;n=145362&amp;dst=100062" TargetMode = "External"/><Relationship Id="rId11" Type="http://schemas.openxmlformats.org/officeDocument/2006/relationships/hyperlink" Target="https://login.consultant.ru/link/?req=doc&amp;base=RLAW358&amp;n=145363&amp;dst=100035" TargetMode = "External"/><Relationship Id="rId12" Type="http://schemas.openxmlformats.org/officeDocument/2006/relationships/hyperlink" Target="https://login.consultant.ru/link/?req=doc&amp;base=RLAW358&amp;n=145364&amp;dst=100029" TargetMode = "External"/><Relationship Id="rId13" Type="http://schemas.openxmlformats.org/officeDocument/2006/relationships/hyperlink" Target="https://login.consultant.ru/link/?req=doc&amp;base=RLAW358&amp;n=121199&amp;dst=100029" TargetMode = "External"/><Relationship Id="rId14" Type="http://schemas.openxmlformats.org/officeDocument/2006/relationships/hyperlink" Target="https://login.consultant.ru/link/?req=doc&amp;base=RLAW358&amp;n=98130&amp;dst=100005" TargetMode = "External"/><Relationship Id="rId15" Type="http://schemas.openxmlformats.org/officeDocument/2006/relationships/hyperlink" Target="https://login.consultant.ru/link/?req=doc&amp;base=RLAW358&amp;n=104803&amp;dst=100005" TargetMode = "External"/><Relationship Id="rId16" Type="http://schemas.openxmlformats.org/officeDocument/2006/relationships/hyperlink" Target="https://login.consultant.ru/link/?req=doc&amp;base=RLAW358&amp;n=110411&amp;dst=100005" TargetMode = "External"/><Relationship Id="rId17" Type="http://schemas.openxmlformats.org/officeDocument/2006/relationships/hyperlink" Target="https://login.consultant.ru/link/?req=doc&amp;base=RLAW358&amp;n=121159&amp;dst=100475" TargetMode = "External"/><Relationship Id="rId18" Type="http://schemas.openxmlformats.org/officeDocument/2006/relationships/hyperlink" Target="https://login.consultant.ru/link/?req=doc&amp;base=RLAW358&amp;n=121160&amp;dst=100201" TargetMode = "External"/><Relationship Id="rId19" Type="http://schemas.openxmlformats.org/officeDocument/2006/relationships/hyperlink" Target="https://login.consultant.ru/link/?req=doc&amp;base=RLAW358&amp;n=120798&amp;dst=100005" TargetMode = "External"/><Relationship Id="rId20" Type="http://schemas.openxmlformats.org/officeDocument/2006/relationships/hyperlink" Target="https://login.consultant.ru/link/?req=doc&amp;base=RLAW358&amp;n=127867&amp;dst=100005" TargetMode = "External"/><Relationship Id="rId21" Type="http://schemas.openxmlformats.org/officeDocument/2006/relationships/hyperlink" Target="https://login.consultant.ru/link/?req=doc&amp;base=RLAW358&amp;n=131974&amp;dst=100008" TargetMode = "External"/><Relationship Id="rId22" Type="http://schemas.openxmlformats.org/officeDocument/2006/relationships/hyperlink" Target="https://login.consultant.ru/link/?req=doc&amp;base=RLAW358&amp;n=135190&amp;dst=100005" TargetMode = "External"/><Relationship Id="rId23" Type="http://schemas.openxmlformats.org/officeDocument/2006/relationships/hyperlink" Target="https://login.consultant.ru/link/?req=doc&amp;base=RLAW358&amp;n=138312&amp;dst=100005" TargetMode = "External"/><Relationship Id="rId24" Type="http://schemas.openxmlformats.org/officeDocument/2006/relationships/hyperlink" Target="https://login.consultant.ru/link/?req=doc&amp;base=RLAW358&amp;n=140837&amp;dst=100062" TargetMode = "External"/><Relationship Id="rId25" Type="http://schemas.openxmlformats.org/officeDocument/2006/relationships/hyperlink" Target="https://login.consultant.ru/link/?req=doc&amp;base=RLAW358&amp;n=143016&amp;dst=100035" TargetMode = "External"/><Relationship Id="rId26" Type="http://schemas.openxmlformats.org/officeDocument/2006/relationships/hyperlink" Target="https://login.consultant.ru/link/?req=doc&amp;base=RLAW358&amp;n=145409&amp;dst=100013" TargetMode = "External"/><Relationship Id="rId27" Type="http://schemas.openxmlformats.org/officeDocument/2006/relationships/hyperlink" Target="https://login.consultant.ru/link/?req=doc&amp;base=RLAW358&amp;n=148576&amp;dst=100005" TargetMode = "External"/><Relationship Id="rId28" Type="http://schemas.openxmlformats.org/officeDocument/2006/relationships/hyperlink" Target="https://login.consultant.ru/link/?req=doc&amp;base=RLAW358&amp;n=150282&amp;dst=100008" TargetMode = "External"/><Relationship Id="rId29" Type="http://schemas.openxmlformats.org/officeDocument/2006/relationships/hyperlink" Target="https://login.consultant.ru/link/?req=doc&amp;base=RLAW358&amp;n=152307&amp;dst=100015" TargetMode = "External"/><Relationship Id="rId30" Type="http://schemas.openxmlformats.org/officeDocument/2006/relationships/hyperlink" Target="https://login.consultant.ru/link/?req=doc&amp;base=RLAW358&amp;n=163739&amp;dst=100010" TargetMode = "External"/><Relationship Id="rId31" Type="http://schemas.openxmlformats.org/officeDocument/2006/relationships/hyperlink" Target="https://login.consultant.ru/link/?req=doc&amp;base=RLAW358&amp;n=165014&amp;dst=100018" TargetMode = "External"/><Relationship Id="rId32" Type="http://schemas.openxmlformats.org/officeDocument/2006/relationships/hyperlink" Target="https://login.consultant.ru/link/?req=doc&amp;base=RLAW358&amp;n=167078&amp;dst=100012" TargetMode = "External"/><Relationship Id="rId33" Type="http://schemas.openxmlformats.org/officeDocument/2006/relationships/hyperlink" Target="https://login.consultant.ru/link/?req=doc&amp;base=RLAW358&amp;n=185558&amp;dst=100020" TargetMode = "External"/><Relationship Id="rId34" Type="http://schemas.openxmlformats.org/officeDocument/2006/relationships/hyperlink" Target="https://login.consultant.ru/link/?req=doc&amp;base=RLAW358&amp;n=187628&amp;dst=100084" TargetMode = "External"/><Relationship Id="rId35" Type="http://schemas.openxmlformats.org/officeDocument/2006/relationships/hyperlink" Target="https://login.consultant.ru/link/?req=doc&amp;base=RLAW358&amp;n=198082&amp;dst=100005" TargetMode = "External"/><Relationship Id="rId36" Type="http://schemas.openxmlformats.org/officeDocument/2006/relationships/hyperlink" Target="https://login.consultant.ru/link/?req=doc&amp;base=RLAW358&amp;n=127678&amp;dst=100005" TargetMode = "External"/><Relationship Id="rId37" Type="http://schemas.openxmlformats.org/officeDocument/2006/relationships/hyperlink" Target="https://login.consultant.ru/link/?req=doc&amp;base=RLAW358&amp;n=161568&amp;dst=100007" TargetMode = "External"/><Relationship Id="rId38" Type="http://schemas.openxmlformats.org/officeDocument/2006/relationships/hyperlink" Target="https://login.consultant.ru/link/?req=doc&amp;base=RLAW358&amp;n=66788" TargetMode = "External"/><Relationship Id="rId39" Type="http://schemas.openxmlformats.org/officeDocument/2006/relationships/hyperlink" Target="https://login.consultant.ru/link/?req=doc&amp;base=RLAW358&amp;n=199146&amp;dst=100166" TargetMode = "External"/><Relationship Id="rId40" Type="http://schemas.openxmlformats.org/officeDocument/2006/relationships/hyperlink" Target="https://login.consultant.ru/link/?req=doc&amp;base=RLAW358&amp;n=145409&amp;dst=100014" TargetMode = "External"/><Relationship Id="rId41" Type="http://schemas.openxmlformats.org/officeDocument/2006/relationships/hyperlink" Target="https://login.consultant.ru/link/?req=doc&amp;base=RLAW358&amp;n=64969" TargetMode = "External"/><Relationship Id="rId42" Type="http://schemas.openxmlformats.org/officeDocument/2006/relationships/hyperlink" Target="https://login.consultant.ru/link/?req=doc&amp;base=RLAW358&amp;n=64854" TargetMode = "External"/><Relationship Id="rId43" Type="http://schemas.openxmlformats.org/officeDocument/2006/relationships/hyperlink" Target="https://login.consultant.ru/link/?req=doc&amp;base=RLAW358&amp;n=98130&amp;dst=100006" TargetMode = "External"/><Relationship Id="rId44" Type="http://schemas.openxmlformats.org/officeDocument/2006/relationships/hyperlink" Target="https://login.consultant.ru/link/?req=doc&amp;base=RLAW358&amp;n=98130&amp;dst=100007" TargetMode = "External"/><Relationship Id="rId45" Type="http://schemas.openxmlformats.org/officeDocument/2006/relationships/hyperlink" Target="https://login.consultant.ru/link/?req=doc&amp;base=RLAW358&amp;n=198082&amp;dst=100005" TargetMode = "External"/><Relationship Id="rId46" Type="http://schemas.openxmlformats.org/officeDocument/2006/relationships/hyperlink" Target="https://login.consultant.ru/link/?req=doc&amp;base=LAW&amp;n=511790&amp;dst=117" TargetMode = "External"/><Relationship Id="rId47" Type="http://schemas.openxmlformats.org/officeDocument/2006/relationships/hyperlink" Target="https://login.consultant.ru/link/?req=doc&amp;base=LAW&amp;n=511790&amp;dst=117" TargetMode = "External"/><Relationship Id="rId48" Type="http://schemas.openxmlformats.org/officeDocument/2006/relationships/hyperlink" Target="https://minforest.saratov.gov.ru/" TargetMode = "External"/><Relationship Id="rId49" Type="http://schemas.openxmlformats.org/officeDocument/2006/relationships/hyperlink" Target="https://www.gosuslugi.ru/" TargetMode = "External"/><Relationship Id="rId50" Type="http://schemas.openxmlformats.org/officeDocument/2006/relationships/hyperlink" Target="https://minforest.saratov.gov.ru/" TargetMode = "External"/><Relationship Id="rId51" Type="http://schemas.openxmlformats.org/officeDocument/2006/relationships/hyperlink" Target="https://www.gosuslugi.ru/" TargetMode = "External"/><Relationship Id="rId52" Type="http://schemas.openxmlformats.org/officeDocument/2006/relationships/hyperlink" Target="https://login.consultant.ru/link/?req=doc&amp;base=LAW&amp;n=523235&amp;dst=364" TargetMode = "External"/><Relationship Id="rId53" Type="http://schemas.openxmlformats.org/officeDocument/2006/relationships/hyperlink" Target="www.gosuslugi.ru" TargetMode = "External"/><Relationship Id="rId54" Type="http://schemas.openxmlformats.org/officeDocument/2006/relationships/hyperlink" Target="https://login.consultant.ru/link/?req=doc&amp;base=LAW&amp;n=511790&amp;dst=117" TargetMode = "External"/><Relationship Id="rId55" Type="http://schemas.openxmlformats.org/officeDocument/2006/relationships/hyperlink" Target="https://login.consultant.ru/link/?req=doc&amp;base=LAW&amp;n=524066&amp;dst=3554" TargetMode = "External"/><Relationship Id="rId56" Type="http://schemas.openxmlformats.org/officeDocument/2006/relationships/hyperlink" Target="https://login.consultant.ru/link/?req=doc&amp;base=LAW&amp;n=524066&amp;dst=2910" TargetMode = "External"/><Relationship Id="rId57" Type="http://schemas.openxmlformats.org/officeDocument/2006/relationships/hyperlink" Target="https://login.consultant.ru/link/?req=doc&amp;base=LAW&amp;n=524066&amp;dst=3613" TargetMode = "External"/><Relationship Id="rId58" Type="http://schemas.openxmlformats.org/officeDocument/2006/relationships/hyperlink" Target="https://login.consultant.ru/link/?req=doc&amp;base=LAW&amp;n=524066&amp;dst=3567" TargetMode = "External"/><Relationship Id="rId59" Type="http://schemas.openxmlformats.org/officeDocument/2006/relationships/hyperlink" Target="https://login.consultant.ru/link/?req=doc&amp;base=LAW&amp;n=524105" TargetMode = "External"/><Relationship Id="rId60" Type="http://schemas.openxmlformats.org/officeDocument/2006/relationships/hyperlink" Target="https://login.consultant.ru/link/?req=doc&amp;base=LAW&amp;n=461022" TargetMode = "External"/><Relationship Id="rId61" Type="http://schemas.openxmlformats.org/officeDocument/2006/relationships/hyperlink" Target="https://login.consultant.ru/link/?req=doc&amp;base=LAW&amp;n=524066&amp;dst=3554" TargetMode = "External"/><Relationship Id="rId62" Type="http://schemas.openxmlformats.org/officeDocument/2006/relationships/hyperlink" Target="https://login.consultant.ru/link/?req=doc&amp;base=LAW&amp;n=524066&amp;dst=2910" TargetMode = "External"/><Relationship Id="rId63" Type="http://schemas.openxmlformats.org/officeDocument/2006/relationships/hyperlink" Target="https://login.consultant.ru/link/?req=doc&amp;base=LAW&amp;n=524066&amp;dst=3613" TargetMode = "External"/><Relationship Id="rId64" Type="http://schemas.openxmlformats.org/officeDocument/2006/relationships/hyperlink" Target="https://login.consultant.ru/link/?req=doc&amp;base=LAW&amp;n=524066&amp;dst=3567" TargetMode = "External"/><Relationship Id="rId65" Type="http://schemas.openxmlformats.org/officeDocument/2006/relationships/hyperlink" Target="https://login.consultant.ru/link/?req=doc&amp;base=LAW&amp;n=524066&amp;dst=3554" TargetMode = "External"/><Relationship Id="rId66" Type="http://schemas.openxmlformats.org/officeDocument/2006/relationships/hyperlink" Target="https://login.consultant.ru/link/?req=doc&amp;base=LAW&amp;n=524066&amp;dst=2910" TargetMode = "External"/><Relationship Id="rId67" Type="http://schemas.openxmlformats.org/officeDocument/2006/relationships/hyperlink" Target="https://login.consultant.ru/link/?req=doc&amp;base=LAW&amp;n=524066&amp;dst=3613" TargetMode = "External"/><Relationship Id="rId68" Type="http://schemas.openxmlformats.org/officeDocument/2006/relationships/hyperlink" Target="https://login.consultant.ru/link/?req=doc&amp;base=LAW&amp;n=524066&amp;dst=3567" TargetMode = "External"/><Relationship Id="rId69" Type="http://schemas.openxmlformats.org/officeDocument/2006/relationships/hyperlink" Target="https://login.consultant.ru/link/?req=doc&amp;base=LAW&amp;n=524066&amp;dst=3622" TargetMode = "External"/><Relationship Id="rId70" Type="http://schemas.openxmlformats.org/officeDocument/2006/relationships/hyperlink" Target="https://login.consultant.ru/link/?req=doc&amp;base=LAW&amp;n=524066&amp;dst=3622" TargetMode = "External"/><Relationship Id="rId71" Type="http://schemas.openxmlformats.org/officeDocument/2006/relationships/hyperlink" Target="https://login.consultant.ru/link/?req=doc&amp;base=LAW&amp;n=524066&amp;dst=4849" TargetMode = "External"/><Relationship Id="rId72" Type="http://schemas.openxmlformats.org/officeDocument/2006/relationships/hyperlink" Target="https://login.consultant.ru/link/?req=doc&amp;base=LAW&amp;n=524066&amp;dst=100880" TargetMode = "External"/><Relationship Id="rId73" Type="http://schemas.openxmlformats.org/officeDocument/2006/relationships/hyperlink" Target="https://login.consultant.ru/link/?req=doc&amp;base=LAW&amp;n=524066&amp;dst=4871" TargetMode = "External"/><Relationship Id="rId74" Type="http://schemas.openxmlformats.org/officeDocument/2006/relationships/hyperlink" Target="https://login.consultant.ru/link/?req=doc&amp;base=LAW&amp;n=524066&amp;dst=102049" TargetMode = "External"/><Relationship Id="rId75" Type="http://schemas.openxmlformats.org/officeDocument/2006/relationships/hyperlink" Target="https://login.consultant.ru/link/?req=doc&amp;base=LAW&amp;n=524066&amp;dst=3913" TargetMode = "External"/><Relationship Id="rId76" Type="http://schemas.openxmlformats.org/officeDocument/2006/relationships/hyperlink" Target="https://login.consultant.ru/link/?req=doc&amp;base=LAW&amp;n=524066&amp;dst=3907" TargetMode = "External"/><Relationship Id="rId77" Type="http://schemas.openxmlformats.org/officeDocument/2006/relationships/hyperlink" Target="https://login.consultant.ru/link/?req=doc&amp;base=LAW&amp;n=524066&amp;dst=3908" TargetMode = "External"/><Relationship Id="rId78" Type="http://schemas.openxmlformats.org/officeDocument/2006/relationships/hyperlink" Target="https://login.consultant.ru/link/?req=doc&amp;base=LAW&amp;n=524066&amp;dst=3909" TargetMode = "External"/><Relationship Id="rId79" Type="http://schemas.openxmlformats.org/officeDocument/2006/relationships/hyperlink" Target="https://login.consultant.ru/link/?req=doc&amp;base=LAW&amp;n=524066&amp;dst=3912" TargetMode = "External"/><Relationship Id="rId80" Type="http://schemas.openxmlformats.org/officeDocument/2006/relationships/hyperlink" Target="https://login.consultant.ru/link/?req=doc&amp;base=LAW&amp;n=524066&amp;dst=3913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4026.00.32</Application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природных ресурсов и экологии Саратовской области от 17.06.2014 N 280
(ред. от 08.05.2026)
"Об утверждении административного регламента по предоставлению государственной услуги"
(вместе с "Административным регламентом министерства природных ресурсов и экологии Саратовской области по предоставлению государственной услуги "Выдача разрешения на ввод в эксплуатацию объекта капитального строительства, построенного, реконструированного в границах особо охраняемой природной территории региональ</dc:title>
  <dcterms:created xsi:type="dcterms:W3CDTF">2026-08-03T13:18:10Z</dcterms:created>
</cp:coreProperties>
</file>