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природных ресурсов и экологии Саратовской области от 06.11.2014 N 453</w:t>
              <w:br/>
              <w:t xml:space="preserve">(ред. от 17.07.2026)</w:t>
              <w:br/>
              <w:t xml:space="preserve">"Об утверждении административного регламента по предоставлению государственной услуги"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ноября 2014 г. N 453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02.04.2015 </w:t>
            </w:r>
            <w:hyperlink w:history="0" r:id="rId8" w:tooltip="Приказ министерства природных ресурсов и экологии Саратовской области от 02.04.2015 N 13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137</w:t>
              </w:r>
            </w:hyperlink>
            <w:r>
              <w:rPr>
                <w:sz w:val="20"/>
                <w:color w:val="392c69"/>
              </w:rPr>
              <w:t xml:space="preserve">, от 17.08.2015 </w:t>
            </w:r>
            <w:hyperlink w:history="0" r:id="rId9" w:tooltip="Приказ министерства природных ресурсов и экологии Саратовской области от 17.08.2015 N 380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19.10.2015 </w:t>
            </w:r>
            <w:hyperlink w:history="0" r:id="rId10" w:tooltip="Приказ министерства природных ресурсов и экологии Саратовской области от 19.10.2015 N 479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479</w:t>
              </w:r>
            </w:hyperlink>
            <w:r>
              <w:rPr>
                <w:sz w:val="20"/>
                <w:color w:val="392c69"/>
              </w:rPr>
              <w:t xml:space="preserve">, от 08.12.2015 </w:t>
            </w:r>
            <w:hyperlink w:history="0" r:id="rId11" w:tooltip="Приказ министерства природных ресурсов и экологии Саратовской области от 08.12.2015 N 56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567</w:t>
              </w:r>
            </w:hyperlink>
            <w:r>
              <w:rPr>
                <w:sz w:val="20"/>
                <w:color w:val="392c69"/>
              </w:rPr>
              <w:t xml:space="preserve">, от 14.12.2015 </w:t>
            </w:r>
            <w:hyperlink w:history="0" r:id="rId12" w:tooltip="Приказ министерства природных ресурсов и экологии Саратовской области от 14.12.2015 N 582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24.10.2016 </w:t>
            </w:r>
            <w:hyperlink w:history="0" r:id="rId13" w:tooltip="Приказ министерства природных ресурсов и экологии Саратовской области от 24.10.2016 N 794 &quot;О внесении изменений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794</w:t>
              </w:r>
            </w:hyperlink>
            <w:r>
              <w:rPr>
                <w:sz w:val="20"/>
                <w:color w:val="392c69"/>
              </w:rPr>
              <w:t xml:space="preserve">, от 10.04.2017 </w:t>
            </w:r>
            <w:hyperlink w:history="0" r:id="rId14" w:tooltip="Приказ министерства природных ресурсов и экологии Саратовской области от 10.04.2017 N 266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266</w:t>
              </w:r>
            </w:hyperlink>
            <w:r>
              <w:rPr>
                <w:sz w:val="20"/>
                <w:color w:val="392c69"/>
              </w:rPr>
              <w:t xml:space="preserve">, от 06.02.2018 </w:t>
            </w:r>
            <w:hyperlink w:history="0" r:id="rId15" w:tooltip="Приказ министерства природных ресурсов и экологии Саратовской области от 06.02.2018 N 60 &quot;О внесении изменений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05.06.2018 </w:t>
            </w:r>
            <w:hyperlink w:history="0" r:id="rId16" w:tooltip="Приказ министерства природных ресурсов и экологии Саратовской области от 05.06.2018 N 365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365</w:t>
              </w:r>
            </w:hyperlink>
            <w:r>
              <w:rPr>
                <w:sz w:val="20"/>
                <w:color w:val="392c69"/>
              </w:rPr>
              <w:t xml:space="preserve">, от 24.01.2019 </w:t>
            </w:r>
            <w:hyperlink w:history="0" r:id="rId17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 от 29.04.2020 </w:t>
            </w:r>
            <w:hyperlink w:history="0" r:id="rId18" w:tooltip="Приказ министерства природных ресурсов и экологии Саратовской области от 29.04.2020 N 206 &quot;О внесении изменений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206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28.08.2020 </w:t>
            </w:r>
            <w:hyperlink w:history="0" r:id="rId19" w:tooltip="Приказ министерства природных ресурсов и экологии Саратовской области от 28.08.2020 N 447 &quot;О внесении изменений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447</w:t>
              </w:r>
            </w:hyperlink>
            <w:r>
              <w:rPr>
                <w:sz w:val="20"/>
                <w:color w:val="392c69"/>
              </w:rPr>
              <w:t xml:space="preserve">, от 25.12.2020 </w:t>
            </w:r>
            <w:hyperlink w:history="0" r:id="rId20" w:tooltip="Приказ министерства природных ресурсов и экологии Саратовской области от 25.12.2020 N 691 &quot;О внесении изменений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691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21" w:tooltip="Приказ министерства природных ресурсов и экологии Саратовской области от 30.06.2021 N 283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283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14.04.2025 </w:t>
            </w:r>
            <w:hyperlink w:history="0" r:id="rId22" w:tooltip="Приказ министерства природных ресурсов и экологии Саратовской области от 14.04.2025 N 15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23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347</w:t>
              </w:r>
            </w:hyperlink>
            <w:r>
              <w:rPr>
                <w:sz w:val="20"/>
                <w:color w:val="392c69"/>
              </w:rPr>
              <w:t xml:space="preserve">, от 17.07.2026 </w:t>
            </w:r>
            <w:hyperlink w:history="0" r:id="rId24" w:tooltip="Приказ министерства природных ресурсов и экологии Саратовской области от 17.07.2026 N 350 &quot;О внесении изменения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N 350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25" w:tooltip="Закон РФ от 21.02.1992 N 2395-1 (ред. от 08.03.2026) &quot;О недрах&quot; (с изм. и доп., вступ. в силу с 01.07.202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РФ от 21 февраля 1992 г. N 2395-1 "О недрах", </w:t>
      </w:r>
      <w:hyperlink w:history="0" r:id="rId26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30 ноября 2021 года N 2127 "О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недрами" и в соответствии с </w:t>
      </w:r>
      <w:hyperlink w:history="0" r:id="rId27" w:tooltip="Постановление Правительства Саратовской области от 08.10.2013 N 537-П (ред. от 17.06.2026) &quot;Вопросы министерства природных ресурсов и экологии Саратовской области&quot; (вместе с &quot;Положением о министерстве природных ресурсов и экологии Саратовской области&quot;, &quot;Перечнем юридических лиц, подведомственных министерству природных ресурсов и экологии Саратовской област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Саратовской области от 8 октября 2013 г. N 537-П "Вопросы министерства природных ресурсов и экологии Саратовской области" приказываю: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24.06.2025 N 347)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41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государственной услуги по согласованию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приказов министерства природных ресурсов и экологии Саратовской области от 24.10.2016 </w:t>
      </w:r>
      <w:hyperlink w:history="0" r:id="rId29" w:tooltip="Приказ министерства природных ресурсов и экологии Саратовской области от 24.10.2016 N 794 &quot;О внесении изменений в приказ министерства природных ресурсов и экологии Саратовской области от 6 ноября 2014 года N 453&quot; {КонсультантПлюс}">
        <w:r>
          <w:rPr>
            <w:sz w:val="20"/>
            <w:color w:val="0000ff"/>
          </w:rPr>
          <w:t xml:space="preserve">N 794</w:t>
        </w:r>
      </w:hyperlink>
      <w:r>
        <w:rPr>
          <w:sz w:val="20"/>
        </w:rPr>
        <w:t xml:space="preserve">, от 28.08.2020 </w:t>
      </w:r>
      <w:hyperlink w:history="0" r:id="rId30" w:tooltip="Приказ министерства природных ресурсов и экологии Саратовской области от 28.08.2020 N 447 &quot;О внесении изменений в приказ министерства природных ресурсов и экологии Саратовской области от 6 ноября 2014 года N 453&quot; {КонсультантПлюс}">
        <w:r>
          <w:rPr>
            <w:sz w:val="20"/>
            <w:color w:val="0000ff"/>
          </w:rPr>
          <w:t xml:space="preserve">N 447</w:t>
        </w:r>
      </w:hyperlink>
      <w:r>
        <w:rPr>
          <w:sz w:val="20"/>
        </w:rPr>
        <w:t xml:space="preserve">, от 17.07.2026 </w:t>
      </w:r>
      <w:hyperlink w:history="0" r:id="rId31" w:tooltip="Приказ министерства природных ресурсов и экологии Саратовской области от 17.07.2026 N 350 &quot;О внесении изменения в приказ министерства природных ресурсов и экологии Саратовской области от 6 ноября 2014 года N 453&quot; {КонсультантПлюс}">
        <w:r>
          <w:rPr>
            <w:sz w:val="20"/>
            <w:color w:val="0000ff"/>
          </w:rPr>
          <w:t xml:space="preserve">N 350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32" w:tooltip="Приказ министерства природных ресурсов и экологии Саратовской области от 24.10.2016 N 794 &quot;О внесении изменений в приказ министерства природных ресурсов и экологии Саратовской области от 6 ноября 2014 года N 453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Саратовской области от 24.10.2016 N 794.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3" w:tooltip="Приказ министерства природных ресурсов и экологии Саратовской области от 24.10.2016 N 794 &quot;О внесении изменений в приказ министерства природных ресурсов и экологии Саратовской области от 6 ноября 2014 года N 453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24.10.2016 N 794)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Отделу правовой работы министерства природных ресурсов и экологии области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И.Н.ПОТАПОВ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природных ресурсов и экологии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от 6 ноября 2014 г. N 453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"СОГЛАСОВАНИЕ</w:t>
      </w:r>
    </w:p>
    <w:p>
      <w:pPr>
        <w:pStyle w:val="2"/>
        <w:jc w:val="center"/>
      </w:pPr>
      <w:r>
        <w:rPr>
          <w:sz w:val="20"/>
        </w:rPr>
        <w:t xml:space="preserve">ТЕХНИЧЕСКИХ ПРОЕКТОВ РАЗРАБОТКИ МЕСТОРОЖДЕНИЙ</w:t>
      </w:r>
    </w:p>
    <w:p>
      <w:pPr>
        <w:pStyle w:val="2"/>
        <w:jc w:val="center"/>
      </w:pPr>
      <w:r>
        <w:rPr>
          <w:sz w:val="20"/>
        </w:rPr>
        <w:t xml:space="preserve">ОБЩЕРАСПРОСТРАНЕННЫХ ПОЛЕЗНЫХ ИСКОПАЕМЫХ И ИНОЙ ПРОЕКТНОЙ</w:t>
      </w:r>
    </w:p>
    <w:p>
      <w:pPr>
        <w:pStyle w:val="2"/>
        <w:jc w:val="center"/>
      </w:pPr>
      <w:r>
        <w:rPr>
          <w:sz w:val="20"/>
        </w:rPr>
        <w:t xml:space="preserve">ДОКУМЕНТАЦИИ НА ВЫПОЛНЕНИЕ РАБОТ, СВЯЗАННЫХ С ПОЛЬЗОВАНИЕМ</w:t>
      </w:r>
    </w:p>
    <w:p>
      <w:pPr>
        <w:pStyle w:val="2"/>
        <w:jc w:val="center"/>
      </w:pPr>
      <w:r>
        <w:rPr>
          <w:sz w:val="20"/>
        </w:rPr>
        <w:t xml:space="preserve">УЧАСТКАМИ НЕДР МЕСТНОГО ЗНАЧЕНИЯ"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4" w:tooltip="Приказ министерства природных ресурсов и экологии Саратовской области от 17.07.2026 N 350 &quot;О внесении изменения в приказ министерства природных ресурсов и экологии Саратовской области от 6 ноября 2014 года N 453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17.07.2026 N 350)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Административный регламент предоставления министерством природных ресурсов и экологии Саратовской области государственной услуги "Согласование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 устанавливает порядок и стандарт предоставления государственной услуги по согласованию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 (далее именуются соответственно - административный регламент, министерство, государственная услуга, проектная документация).</w:t>
      </w:r>
    </w:p>
    <w:p>
      <w:pPr>
        <w:pStyle w:val="0"/>
        <w:spacing w:before="200" w:lineRule="auto"/>
        <w:ind w:firstLine="540"/>
        <w:jc w:val="both"/>
      </w:pPr>
      <w:hyperlink w:history="0" w:anchor="P222" w:tooltip="1. Перечень условных обозначений и сокращений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приведен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государственной услуги являются пользователи недр (юридические лица и индивидуальные предприниматели), осуществляющие пользование недрами в соответствии с лицензией на пользование недрами, либо лица, обязанные (планирующие) осуществить работы по ликвидации и консервации горных выработок, буровых скважин и иных сооружений, связанных с пользованием недрами, а также их уполномоченные представители (далее именуются соответственно - заявитель, представитель заявителя).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Требование предоставления заявителю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в соответствии с категориями (признаками) заявителя,</w:t>
      </w:r>
    </w:p>
    <w:p>
      <w:pPr>
        <w:pStyle w:val="2"/>
        <w:jc w:val="center"/>
      </w:pPr>
      <w:r>
        <w:rPr>
          <w:sz w:val="20"/>
        </w:rPr>
        <w:t xml:space="preserve">сведения о которых размещаются в федеральной государственной</w:t>
      </w:r>
    </w:p>
    <w:p>
      <w:pPr>
        <w:pStyle w:val="2"/>
        <w:jc w:val="center"/>
      </w:pPr>
      <w:r>
        <w:rPr>
          <w:sz w:val="20"/>
        </w:rPr>
        <w:t xml:space="preserve">информационной системе "Федеральный реестр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(функций)" и в федеральной</w:t>
      </w:r>
    </w:p>
    <w:p>
      <w:pPr>
        <w:pStyle w:val="2"/>
        <w:jc w:val="center"/>
      </w:pPr>
      <w:r>
        <w:rPr>
          <w:sz w:val="20"/>
        </w:rPr>
        <w:t xml:space="preserve">государственной информационной системе "Единый портал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 порядке предоставления государственной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- реестр услуг и Единый портал соответственно).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услуга должна быть предоставлена заявителю в соответствии с категориями (признаками) заявителей, сведения о которых размещаются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Категории (признаки) заявителя определяются путем профилирования заявителя посредством его анкетирования в соответствии с вопросами, приведенными в </w:t>
      </w:r>
      <w:hyperlink w:history="0" w:anchor="P367" w:tooltip="3. Идентификаторы категорий (признаков) заявителей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Наименование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министерством природных ресурсов и экологии Саратовской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предоставления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решение о согласовании проектной документации, направляемое посредством ФГИС "АСЛН";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решение об отказе в согласовании проектной документации, направляемое посредством ФГИС "АСЛН".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Заявитель, представитель заявителя вправе дополнительно получить решение о согласовании технической проектной документации или мотивированном отказе в согласовании технической проектной документации на бумажном носителе на основании соответствующего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согласования (отказе в согласовании) проектной документации учитываются и подтверждаются путем внесения министерством сведений в электронной форме в ФГИС "АСЛН".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Формирование реестровой записи по результатам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Перечень способов получения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может быть получен через ФГИС "АСЛН" в течение 1 рабочего дня со дня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предоставления государственной услуги не может превышать: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части принятия решения о согласовании проектной документации - 15 рабочих дней со дня регистрации заявления и прилагаемых документов, для уникальных и крупных месторождений полезных ископаемых срок может быть продлен на 25 рабочих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части предоставления решения о согласовании проектной документации или мотивированном отказе в согласовании проектной документации дополнительно на бумажном носителе по соответствующему заявлению заявителя или представителя заявителя - 7 рабочих дней со дня регистрации заявления и прилагаемых документов.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2.5.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2.6. 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заявителем заявления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заявления и при получении результата предоставления государственной услуги составляет не более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государственной услуги составляет пять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2.7. Срок регистрации заявления заявителя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Заявление и документы и (или) необходимые для предоставления государственной услуги (далее - материалы) регистрируются в автоматическом режиме во ФГИС "АСЛН".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заявления считается дата его регистрации во ФГИС "АСЛН".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заявления, поступившего в нерабочее время, начинается на следующий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2.8. 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помещения, в которых предоставляется государственная услуга, размещены на официальном сайте министерства по адресу: </w:t>
      </w:r>
      <w:hyperlink w:history="0" r:id="rId35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36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помещении министерства для приема документов, необходимых для предоставления государственной услуги, оборудован информационный стенд с нормативными правовыми актами, регламентирующими порядок предоставления государственной услуги, а также размещена информация о необходимых документах, сроках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2.9. Показатели доступности и качества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качества и доступности государственной услуги размещен на официальном сайте министерства по адресу: </w:t>
      </w:r>
      <w:hyperlink w:history="0" r:id="rId37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38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2.10. Иные требования к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 в многофункциональных</w:t>
      </w:r>
    </w:p>
    <w:p>
      <w:pPr>
        <w:pStyle w:val="2"/>
        <w:jc w:val="center"/>
      </w:pPr>
      <w:r>
        <w:rPr>
          <w:sz w:val="20"/>
        </w:rPr>
        <w:t xml:space="preserve">центрах и особенности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2.10.1. Услуги, которые являются необходимыми и обязательными для предоставления государственной услуги, действующим законодательством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Перечень информационных систем, используемых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РСМЭВ;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ФГИС "ЕФГИ";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ФГИС "АСЛН";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государственная информационная система ведения Единого государственного реестра недвижимости (ФГИС ЕГРН);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юридических лиц (ЕГРЮЛ);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индивидуальных предпринимателей (ЕГРИП).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2.10.3. Заявление не может быть подано в МФЦ.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не может быть выдан в МФЦ.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2.11.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2.11.1. Исчерпывающий </w:t>
      </w:r>
      <w:hyperlink w:history="0" w:anchor="P409" w:tooltip="4. Исчерпывающий перечень документов, необходимых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услуги приведен в приложении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2.11.2. </w:t>
      </w:r>
      <w:hyperlink w:history="0" w:anchor="P409" w:tooltip="4. Исчерпывающий перечень документов, необходимых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способов подачи заявления о предоставлении государственной услуги и документов приведен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2.12.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для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Исчерпывающий перечень оснований для отказа в приеме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в приеме заявления и документов,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нарушение требований </w:t>
      </w:r>
      <w:hyperlink w:history="0" r:id="rId39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Федерального закона N 63-ФЗ при использовании заявителем усиленной квалифицированной электронной подписи (для документов, направленных в электронном виде посредством ФГИС "АСЛН");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материалов требованиям, предусмотренным </w:t>
      </w:r>
      <w:hyperlink w:history="0" r:id="rId40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пунктами 13</w:t>
        </w:r>
      </w:hyperlink>
      <w:r>
        <w:rPr>
          <w:sz w:val="20"/>
        </w:rPr>
        <w:t xml:space="preserve"> - </w:t>
      </w:r>
      <w:hyperlink w:history="0" r:id="rId41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Правил, или поданные с нарушением </w:t>
      </w:r>
      <w:hyperlink w:history="0" r:id="rId42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пункта 16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приеме заявления и документов оформляется в письменной форме с указанием оснований для отказа и направляется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повторно обратиться с заявлением после устранения нарушения, которое послужило основанием для отказа в приеме к рассмотрению первичного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Исчерпывающий перечень оснований для приостановления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оснований для отказа в согласовании проектной документации, предусмотренных </w:t>
      </w:r>
      <w:hyperlink w:history="0" r:id="rId43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пунктом 23</w:t>
        </w:r>
      </w:hyperlink>
      <w:r>
        <w:rPr>
          <w:sz w:val="20"/>
        </w:rPr>
        <w:t xml:space="preserve"> Правил;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выявлении несоответствия проектной документации условиям пользования недрами и (или) сроку пользования участком недр, установленным в лицензии на пользование недрами, при отсутствии иных оснований для отказа в согласовании проектной документации, предусмотренных </w:t>
      </w:r>
      <w:hyperlink w:history="0" r:id="rId44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пунктом 23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Исчерпывающий перечень оснований для отказа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2.12.3.1. Основаниями для отказа в предоставлении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технической проектной документации условиям пользования недрами, установленным в лицензии на пользование недрами, и (или) требованиям законодательства Российской Федерации о недрах;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несоответствие технической проектной документации требованиям </w:t>
      </w:r>
      <w:hyperlink w:history="0" r:id="rId45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пунктов 13</w:t>
        </w:r>
      </w:hyperlink>
      <w:r>
        <w:rPr>
          <w:sz w:val="20"/>
        </w:rPr>
        <w:t xml:space="preserve"> - </w:t>
      </w:r>
      <w:hyperlink w:history="0" r:id="rId46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настоящих Правил и (или) требованиям по рациональному использованию и охране недр;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несоответствие данных, указанных в технической проектной документации, заключению государственной экспертизы запасов полезных ископаемых и подземных вод, геологической информации о предоставляемых в пользование участках недр;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несоответствие технической проектной документации составу и содержанию технических проектов, определенным правилами подготовки технических проектов разработки месторождений полезных ископаемых по видам полезных ископаемых, а также требованиям к структуре и оформлению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предусмотренных </w:t>
      </w:r>
      <w:hyperlink w:history="0" r:id="rId47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Основания для отказа в приеме заявления и документов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с учетом категории (признаков) заявителя приведены в </w:t>
      </w:r>
      <w:hyperlink w:history="0" w:anchor="P540" w:tooltip="5. Исчерпывающий перечень оснований для отказа в приеме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Перечень осуществляемых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заявления и документов и (или) информации,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дополнительных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принятия решения о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результата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Информирование заявителя об изменении статуса рассмотрения Заявления о предоставлении государственной услуги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направления уведомлений в личный кабинет заявителя на ЕПГУ в соответствии с </w:t>
      </w:r>
      <w:hyperlink w:history="0" r:id="rId48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3.1 статьи 21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телефонной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личном обращении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0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ИЛИ ОТКАЗА В ПРЕДОСТАВЛЕНИИ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ФОРМЫ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222" w:name="P222"/>
    <w:bookmarkEnd w:id="222"/>
    <w:p>
      <w:pPr>
        <w:pStyle w:val="2"/>
        <w:outlineLvl w:val="2"/>
        <w:jc w:val="center"/>
      </w:pPr>
      <w:r>
        <w:rPr>
          <w:sz w:val="20"/>
        </w:rPr>
        <w:t xml:space="preserve">1. Перечень условных обозначений и сокращений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Условные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Административный регламент - административный регламент предоставления министерством природных ресурсов и экологии Саратовской области государственной услуги "Согласование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министерство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государственная услуга - государственная услуга "Согласование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проектная документация - технические проекты разработки месторождений полезных ископаемых, технические проекты строительства и эксплуатации подземных сооружений, технические проекты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РСМЭВ - система межведомственного электронного взаимодействия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заявитель, представитель заявителя - пользователи недр (юридические лица и индивидуальные предприниматели), а также их уполномоченные представители;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заявление (заявка) - запрос о предоставлении государственной услуги, формируемый с помощью ФГИС "АСЛН"; заявление о предоставлении результата оказания государственной услуги дополнительно на бумажном носителе;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МФЦ - многофункциональный центр предоставления государственных и муниципальных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Федеральный закон N 63-ФЗ - Федеральный </w:t>
      </w:r>
      <w:hyperlink w:history="0" r:id="rId49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6 апреля 2011 года N 63-ФЗ "Об электронной подписи";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документы, материалы - документы и (или) сведения (информация), прилагаемые к заявлению (заявке), необходимые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Правила - </w:t>
      </w:r>
      <w:hyperlink w:history="0" r:id="rId50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недрами, утвержденные постановлением Правительства Российской Федерации от 30 ноября 2021 года N 2127 "О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Закон о недрах - </w:t>
      </w:r>
      <w:hyperlink w:history="0" r:id="rId51" w:tooltip="Закон РФ от 21.02.1992 N 2395-1 (ред. от 08.03.2026) &quot;О недрах&quot; (с изм. и доп., вступ. в силу с 01.07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Российской Федерации от 21 февраля 1992 года N 2395-1 "О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ФГИС "ЕФГИ" - Федеральная государственная информационная система "Единый фонд геологической информации 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ФГИС "АСЛН" - Федеральная государственная информационная система "Автоматизированная система лицензирования недропользования".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Условные обозначения: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[Все] - документы предоставляются всеми заявителями, обратившимися за получением;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П(з) - представитель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Единый портал - документы подаются посредством Единого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МФЦ - многофункциональный центр предоставления государственных и муниципальных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УОВ - уполномоченный орган власти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ПС - документы подаются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ЭП - документы подаются посредством электронной почты;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 - представляется оригинал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О(э) - представляется оригинал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К - представляется копия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К(э) - представляется копия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Д(1) - документы представляются в одном экземпляре;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ЛКН - "Личный кабинет недропользователя" на официальном сайте Федерального агентства по недропользованию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условные обозначения видов проектной документации, подлежащих согласованию в УОВ: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7090"/>
        <w:gridCol w:w="136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090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технические проекты разработки месторождений полезных ископаемых: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7090" w:type="dxa"/>
          </w:tcPr>
          <w:p>
            <w:pPr>
              <w:pStyle w:val="0"/>
            </w:pPr>
            <w:r>
              <w:rPr>
                <w:sz w:val="20"/>
              </w:rPr>
              <w:t xml:space="preserve">в отношении общераспространенных полезных ископаемых: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</w:pPr>
            <w:r>
              <w:rPr>
                <w:sz w:val="20"/>
              </w:rPr>
              <w:t xml:space="preserve">а) проект опытно-промышленной разработки месторождений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</w:pPr>
            <w:r>
              <w:rPr>
                <w:sz w:val="20"/>
              </w:rPr>
              <w:t xml:space="preserve">б) изменения к проекту опытно-промышленной разработки месторождений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в) технический проект разработки месторождений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г) изменения к техническому проекту разработки месторождений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д) технологическая схема первичной переработки общераспространенных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5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е) изменения к технологической схеме первичной переработки общераспространенных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  <w:r>
              <w:rPr>
                <w:sz w:val="20"/>
                <w:vertAlign w:val="subscript"/>
              </w:rPr>
              <w:t xml:space="preserve">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подземных вод, которые используются для целей питьевого и хозяйственно-бытового водоснабжения или технического водоснабжения и объем добычи которых составляет не более 500 кубических метров в сутки: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проект опытно-промышленной разработки месторождения (участка)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проекту опытно-промышленной разработки месторождения (участка)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в) проект разработки месторождения (участка)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</w:t>
            </w:r>
            <w:r>
              <w:rPr>
                <w:sz w:val="20"/>
                <w:vertAlign w:val="subscript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г) изменения к проекту разработки месторождения (участка)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</w:t>
            </w:r>
            <w:r>
              <w:rPr>
                <w:sz w:val="20"/>
                <w:vertAlign w:val="subscript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отходов недропользования, в том числе вскрышных и вмещающих горных пород, образовавшихся при осуществлении пользования недрами на предоставленном в пользование участке недр местного значения, подлежащих использованию в целях добычи полезных ископаемых и полезных компонентов (в случае, если отходы недропользования, в том числе вскрышные и вмещающие горные породы, в соответствии с заключением государственной экспертизы запасов полезных ископаемых и подземных вод, геологической информации о предоставляемых в пользование участках недр имеют самостоятельное промышленное значение):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проект опытно-промышленной разработки месторождения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проекту опытно-промышленной разработки месторождения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в) технический проект разработки месторождения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г) изменения к техническому проекту разработки месторождения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д) технологическая схема первичной переработки минерального сырья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5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е) изменения к технологической схеме первичной переработки минерального сырья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</w:t>
            </w:r>
            <w:r>
              <w:rPr>
                <w:sz w:val="20"/>
                <w:vertAlign w:val="subscript"/>
              </w:rPr>
              <w:t xml:space="preserve">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технические проекты строительства и эксплуатации подземных сооружений: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технический проект строительства и эксплуатации подземных сооружений местного и регионального значения, не связанных с добычей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техническому проекту строительства и эксплуатации подземных сооружений местного и регионального значения, не связанных с добычей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технические проекты ликвидации и консервации горных выработок, буровых скважин и иных сооружений, связанных с пользованием недрами: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</w:t>
            </w:r>
            <w:r>
              <w:rPr>
                <w:sz w:val="20"/>
                <w:vertAlign w:val="subscript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общераспространенных полезных ископаемых: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технический проект ликвидации или консервации горных выработок, буровых скважин, иных сооружений, связанных с пользованием недрами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техническому проекту ликвидации или консервации горных выработок, буровых скважин, иных сооружений, связанных с пользованием недрами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подземных вод, которые используются для целей питьевого и хозяйственно-бытового водоснабжения или технического водоснабжения и объем добычи которых составляет не более 500 кубических метров в сутки: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технический проект ликвидации или консервации горных выработок, буровых скважин, иных сооружений, связанных с пользованием недрами, при прекращении права пользования недрами, в том числе досрочном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техническому проекту ликвидации или консервации горных выработок, буровых скважин, иных сооружений, связанных с пользованием недрами, при прекращении права пользования недрами, в том числе досрочном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отношении подземных сооружений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а) технический проект ликвидации или консервации подземных сооружений местного и регионального значения, не связанных с добычей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б) изменения к техническому проекту ликвидации или консервации подземных сооружений местного и регионального значения, не связанных с добычей полезных ископаемых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4"/>
        <w:gridCol w:w="4535"/>
      </w:tblGrid>
      <w:tr>
        <w:tc>
          <w:tcPr>
            <w:tcW w:w="45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Вопросы анкетирования заявителя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ответов</w:t>
            </w:r>
          </w:p>
        </w:tc>
      </w:tr>
      <w:tr>
        <w:tc>
          <w:tcPr>
            <w:tcW w:w="4534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заявителя?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  <w:t xml:space="preserve">1. 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2. Юридическое лицо</w:t>
            </w:r>
          </w:p>
        </w:tc>
      </w:tr>
      <w:tr>
        <w:tc>
          <w:tcPr>
            <w:tcW w:w="4534" w:type="dxa"/>
          </w:tcPr>
          <w:p>
            <w:pPr>
              <w:pStyle w:val="0"/>
            </w:pPr>
            <w:r>
              <w:rPr>
                <w:sz w:val="20"/>
              </w:rPr>
              <w:t xml:space="preserve">Каким образом обратился заявитель?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  <w:t xml:space="preserve">1. Обратился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через представителя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367" w:name="P367"/>
    <w:bookmarkEnd w:id="367"/>
    <w:p>
      <w:pPr>
        <w:pStyle w:val="2"/>
        <w:outlineLvl w:val="2"/>
        <w:jc w:val="center"/>
      </w:pPr>
      <w:r>
        <w:rPr>
          <w:sz w:val="20"/>
        </w:rPr>
        <w:t xml:space="preserve">3. Идентификаторы категорий (признаков)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42"/>
        <w:gridCol w:w="4252"/>
        <w:gridCol w:w="1928"/>
      </w:tblGrid>
      <w:tr>
        <w:tc>
          <w:tcPr>
            <w:tcW w:w="284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обращения</w:t>
            </w:r>
          </w:p>
        </w:tc>
        <w:tc>
          <w:tcPr>
            <w:tcW w:w="425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категории (признака) заявителя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</w:tr>
      <w:tr>
        <w:tc>
          <w:tcPr>
            <w:tcW w:w="28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"Согласование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пользователь недр, обратившийся за согласованием проектной документации самостоятельно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пользователь недр, обратившийся за согласованием проектной документации через представителя по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пользователь недр, обратившееся за согласованием проектной документации от имени лица, имеющего право действовать без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пользователь недр, обратившееся за согласованием проектной документации от имени лица, действующего на основании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</w:t>
            </w:r>
          </w:p>
        </w:tc>
      </w:tr>
      <w:tr>
        <w:tc>
          <w:tcPr>
            <w:tcW w:w="28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дополнительно за получением на бумажном носителе "Согласования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пользователь недр, обратившийся за предоставлением результата оказания государственной услуги по согласованию проектной документации дополнительно на бумажном носителе самостоятельно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пользователь недр, обратившийся за предоставлением результата оказания государственной услуги по согласованию проектной документации дополнительно на бумажном носителе через представителя по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пользователь недр, обратившийся за предоставлением результата оказания государственной услуги по согласованию проектной документации дополнительно на бумажном носителе от имени лица, имеющего право действовать без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пользователь недр, обратившееся за предоставлением результата оказания государственной услуги по согласованию проектной документации дополнительно на бумажном носителе от имени лица, действующего на основании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</w:t>
            </w:r>
          </w:p>
        </w:tc>
      </w:tr>
      <w:tr>
        <w:tc>
          <w:tcPr>
            <w:tcW w:w="28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"Согласование изменений в технические проекты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обратившийся за согласованием проектной документации самостоятельно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обратившийся за согласованием проектной документации через представителя по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обратившееся за согласованием проектной документации от имени лица, имеющего право действовать без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обратившееся за согласованием проектной документации от имени лица, действующего на основании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</w:t>
            </w:r>
          </w:p>
        </w:tc>
      </w:tr>
      <w:tr>
        <w:tc>
          <w:tcPr>
            <w:tcW w:w="28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дополнительно за получением на бумажном носителе "Согласования изменений в технические проекты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обратившийся за предоставлением результата оказания государственной услуги по согласованию проектной документации дополнительно на бумажном носителе самостоятельно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обратившийся за предоставлением результата оказания государственной услуги по согласованию проектной документации дополнительно на бумажном носителе через представителя по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обратившееся за предоставлением результата оказания государственной услуги по согласованию проектной документации дополнительно на бумажном носителе от имени лица, имеющего право действовать без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</w:t>
            </w:r>
          </w:p>
        </w:tc>
      </w:tr>
      <w:tr>
        <w:tc>
          <w:tcPr>
            <w:vMerge w:val="continue"/>
          </w:tcPr>
          <w:p/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обратившееся за предоставлением результата оказания государственной услуги по согласованию проектной документации дополнительно на бумажном носителе от имени лица, действующего на основании доверенности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409" w:name="P409"/>
    <w:bookmarkEnd w:id="409"/>
    <w:p>
      <w:pPr>
        <w:pStyle w:val="2"/>
        <w:outlineLvl w:val="2"/>
        <w:jc w:val="center"/>
      </w:pPr>
      <w:r>
        <w:rPr>
          <w:sz w:val="20"/>
        </w:rPr>
        <w:t xml:space="preserve">4.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587"/>
        <w:gridCol w:w="3061"/>
        <w:gridCol w:w="2438"/>
        <w:gridCol w:w="1361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Идентификаторы категорий (признаков) заявителей</w:t>
            </w:r>
          </w:p>
        </w:tc>
        <w:tc>
          <w:tcPr>
            <w:tcW w:w="30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Способы подачи документов, требования к предоставлению документов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Иные требования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согласования проектной документации, которые заявитель должен представить самостоятельно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о предоставлении государственной услуги "Согласование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значения"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О(э) - ЛКН,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проектная документация, подписанная уполномоченным представителем пользователя недр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О(э) - ЛКН,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Б, Г, К,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 (документы), подтверждающий полномочия лица на осуществление действий от имени пользователя недр, за исключением случаев подписания заявки индивидуальным предпринимателем (если пользователем недр является индивидуальный предприниматель) либо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(если пользователем недр является юридическое лицо). Указанный документ может быть оформлен в машиночитаемом виде. Если доверенность подписана лицом, не являющимся индивидуальным предпринимателем либо не указанным в едином государственном реестре юридических лиц в качестве лица, имеющего право без доверенности действовать от имени юридического лица, требуется представление документов, подтверждающих полномочия такого лица на выдачу доверенности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П(з),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 или копия договора, предусматривающего передачу вскрышных и вмещающих горных пород, в том числе заключенного под отлагательным условием в соответствии со </w:t>
            </w:r>
            <w:hyperlink w:history="0" r:id="rId52" w:tooltip="&quot;Гражданский кодекс Российской Федерации (часть первая)&quot; от 30.11.1994 N 51-ФЗ (ред. от 10.06.2026) {КонсультантПлюс}">
              <w:r>
                <w:rPr>
                  <w:sz w:val="20"/>
                  <w:color w:val="0000ff"/>
                </w:rPr>
                <w:t xml:space="preserve">статьей 157</w:t>
              </w:r>
            </w:hyperlink>
            <w:r>
              <w:rPr>
                <w:sz w:val="20"/>
              </w:rPr>
              <w:t xml:space="preserve"> Гражданского кодекса Российской Федерации (в случае подготовки технических и технологических решений по использованию вскрышных и вмещающих горных пород для целей, предусмотренных </w:t>
            </w:r>
            <w:hyperlink w:history="0" r:id="rId53" w:tooltip="Закон РФ от 21.02.1992 N 2395-1 (ред. от 08.03.2026) &quot;О недрах&quot;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пунктами 6</w:t>
              </w:r>
            </w:hyperlink>
            <w:r>
              <w:rPr>
                <w:sz w:val="20"/>
              </w:rPr>
              <w:t xml:space="preserve"> и </w:t>
            </w:r>
            <w:hyperlink w:history="0" r:id="rId54" w:tooltip="Закон РФ от 21.02.1992 N 2395-1 (ред. от 08.03.2026) &quot;О недрах&quot;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7 части первой статьи 23.5</w:t>
              </w:r>
            </w:hyperlink>
            <w:r>
              <w:rPr>
                <w:sz w:val="20"/>
              </w:rPr>
              <w:t xml:space="preserve"> Закона Российской Федерации "О недрах") (при наличии)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ранее утвержденная проектная документация, в случае, если согласовываются изменения в ранее утвержденную проектную документацию, которая не размещена в ФГИС "АСЛН" и отсутствует в распоряжении министерства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согласования проектной документации,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- не предусмотрен, вместе с тем УОВ вправе воспользоваться информацией и материалами, размещенными в ФГИС "ЕФГИ", ФГИС "АСЛН", а также в рамках межведомственного взаимодействия (СМЭВ) или открытыми данными на официальных сайтах органов власти в информационно-телекоммуникационной сети "Интернет", в том числе: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А, Б, И, К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заявителе - индивидуальном предпринимателе, содержащиеся в ЕГРИП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В, Г, Л,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заявителе - юридическом лице, содержащиеся ЕГРЮЛ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ЕГРН об объекте недвижимости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М, С - Ф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лицензия на пользование недрами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М, С - Ч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заключение государственной экспертизы запасов полезных ископаемых и подземных вод, геологической информации о предоставляемых в пользование участках недр, предусмотренной </w:t>
            </w:r>
            <w:hyperlink w:history="0" r:id="rId55" w:tooltip="Закон РФ от 21.02.1992 N 2395-1 (ред. от 08.03.2026) &quot;О недрах&quot;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29</w:t>
              </w:r>
            </w:hyperlink>
            <w:r>
              <w:rPr>
                <w:sz w:val="20"/>
              </w:rPr>
              <w:t xml:space="preserve"> Закона о недрах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М, С - Ч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геологическая информация об участке недр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предыдущее решение УОВ, в случае, если рассмотрение проектной документации проводится повторно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ранее утвержденная проектная документация, в случае, если согласовываются изменения в ранее утвержденную проектную документацию, которая размещена в ФГИС "АСЛН" и (или) имеется в распоряжении УОВ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ЛКН,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М, С, У, Ф, Х, Ч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письменная позиция Федеральной службы по надзору в сфере природопользования в отношении проектной документации, предусматривающей использование вскрышных и вмещающих горных пород в соответствии с </w:t>
            </w:r>
            <w:hyperlink w:history="0" r:id="rId56" w:tooltip="Закон Саратовской области от 05.08.2015 N 92-ЗСО (ред. от 27.11.2025) &quot;О недрах&quot; (принят Саратовской областной Думой 29.07.2015) (с изм. и доп., вступающими в силу с 01.03.2026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Российской Федерации "О недрах"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УОВ, Кэ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предоставления решения о согласовании проектной документации или мотивированном отказе в согласовании проектной документации дополнительно на бумажном носителе, которые заявитель должен представить самостоятельно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З, Н - 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о предоставлении решения о согласовании проектной документации или мотивированном отказе в согласовании проектной документации дополнительно на бумажном носителе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Д, Е, Н, О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Д, Н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заявителя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- ПС, О -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К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Е, З, О, 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представителя заявителя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- ПС, О -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К, П(з)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Е, О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представителя заявителя (индивидуального предпринимателя)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Единый портал, 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- ПС, К -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Ж, З, П, 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 (далее - руководитель заявителя). В случае, если от имени заявителя действует иное лицо, заявка должна содержать также подлинник доверенности на осуществление действий от имени заявителя, заверенный печатью заявителя (при наличии) и подписанный руководителем заявителя (для юридического лица) или иным уполномоченным руководителем заявителя лицом. В случае, если указанная доверенность подписана лицом, уполномоченным руководителем заявителя, заявка должна содержать также документ, подтверждающий полномочия такого лица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- ПС, К -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Д(1), К, К, П(з)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в части предоставления решения о согласовании проектной документации или мотивированном отказе в согласовании проектной документации дополнительно на бумажном носителе,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З, Н - Р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решения о согласовании проектной документации или мотивированном отказе в согласовании проектной документации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К(э) - Единый портал,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ЭП,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[Все], К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540" w:name="P540"/>
    <w:bookmarkEnd w:id="540"/>
    <w:p>
      <w:pPr>
        <w:pStyle w:val="2"/>
        <w:outlineLvl w:val="2"/>
        <w:jc w:val="center"/>
      </w:pPr>
      <w:r>
        <w:rPr>
          <w:sz w:val="20"/>
        </w:rPr>
        <w:t xml:space="preserve">5.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576"/>
        <w:gridCol w:w="1871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57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оснований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о согласовании проектной документации через ЛКН отказ в приеме документов не предусмотрен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о согласовании проектной документации через ЛКН предусмотрен возврат документов в случае, если заявителем (представителем заявителя) представлены материалы, не соответствующие требованиям, предусмотренным </w:t>
            </w:r>
            <w:hyperlink w:history="0" r:id="rId57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пунктами 13</w:t>
              </w:r>
            </w:hyperlink>
            <w:r>
              <w:rPr>
                <w:sz w:val="20"/>
              </w:rPr>
              <w:t xml:space="preserve"> - </w:t>
            </w:r>
            <w:hyperlink w:history="0" r:id="rId58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15</w:t>
              </w:r>
            </w:hyperlink>
            <w:r>
              <w:rPr>
                <w:sz w:val="20"/>
              </w:rPr>
              <w:t xml:space="preserve"> Правил, или поданные с нарушением </w:t>
            </w:r>
            <w:hyperlink w:history="0" r:id="rId59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пункта 16</w:t>
              </w:r>
            </w:hyperlink>
            <w:r>
              <w:rPr>
                <w:sz w:val="20"/>
              </w:rPr>
              <w:t xml:space="preserve"> Правил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о предоставлении решения о согласовании проектной документации или мотивированном отказе в согласовании проектной документации дополнительно на бумажном носителе по электронной почте - нарушение требований </w:t>
            </w:r>
            <w:hyperlink w:history="0" r:id="rId60" w:tooltip="Федеральный закон от 06.04.2011 N 63-ФЗ (ред. от 31.07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статьи 11</w:t>
              </w:r>
            </w:hyperlink>
            <w:r>
              <w:rPr>
                <w:sz w:val="20"/>
              </w:rPr>
              <w:t xml:space="preserve"> Федерального закона N 63-ФЗ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З, Н - Р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приостановления предоставления государственной услуги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При рассмотрении проектной документации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 случае, если при рассмотрении проектной документации министерством выявлено наличие оснований для отказа в согласовании проектной документации, предусмотренных </w:t>
            </w:r>
            <w:hyperlink w:history="0" r:id="rId61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пунктом 23</w:t>
              </w:r>
            </w:hyperlink>
            <w:r>
              <w:rPr>
                <w:sz w:val="20"/>
              </w:rPr>
              <w:t xml:space="preserve"> Правил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 случае, если при рассмотрении проектной документации выявлено несоответствие проектной документации условиям пользования недрами и (или) сроку пользования участком недр, установленным в лицензии на пользование недрами, при отсутствии иных оснований для отказа в согласовании проектной документации, предусмотренных </w:t>
            </w:r>
            <w:hyperlink w:history="0" r:id="rId62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пунктом 23</w:t>
              </w:r>
            </w:hyperlink>
            <w:r>
              <w:rPr>
                <w:sz w:val="20"/>
              </w:rPr>
              <w:t xml:space="preserve"> Правил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При рассмотрении заявления о предоставлении решения о согласовании проектной документации или мотивированном отказе в согласовании проектной документации дополнительно на бумажном носителе приостановление предоставления государственной услуги не предусмотрено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 части принятия решения об отказе в согласовании проектной документации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И - М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а) несоответствие проектной документации условиям пользования недрами, установленным в лицензии на пользование недрами, и (или) требованиям законодательства Российской Федерации о недрах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б) несоответствие проектной документации требованиям </w:t>
            </w:r>
            <w:hyperlink w:history="0" r:id="rId63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пунктов 13</w:t>
              </w:r>
            </w:hyperlink>
            <w:r>
              <w:rPr>
                <w:sz w:val="20"/>
              </w:rPr>
              <w:t xml:space="preserve"> - </w:t>
            </w:r>
            <w:hyperlink w:history="0" r:id="rId64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15</w:t>
              </w:r>
            </w:hyperlink>
            <w:r>
              <w:rPr>
                <w:sz w:val="20"/>
              </w:rPr>
              <w:t xml:space="preserve"> Правил и (или) требованиям по рациональному использованию и охране недр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в) несоответствие данных, указанных в проектной документации, заключению государственной экспертизы запасов полезных ископаемых и подземных вод, геологической информации о предоставляемых в пользование участках недр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г) несоответствие проектной документации составу и содержанию технических проектов, определенным правилами подготовки технических проектов разработки месторождений полезных ископаемых по видам полезных ископаемых, а также требованиям к структуре и оформлению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предусмотренных </w:t>
            </w:r>
            <w:hyperlink w:history="0" r:id="rId65" w:tooltip="Постановление Правительства РФ от 30.11.2021 N 2127 (ред. от 13.11.2025) &quot;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&quot; (вместе с &quot;Правилами подготовки, согласования и утверждения {КонсультантПлюс}">
              <w:r>
                <w:rPr>
                  <w:sz w:val="20"/>
                  <w:color w:val="0000ff"/>
                </w:rPr>
                <w:t xml:space="preserve">пунктом 9</w:t>
              </w:r>
            </w:hyperlink>
            <w:r>
              <w:rPr>
                <w:sz w:val="20"/>
              </w:rPr>
              <w:t xml:space="preserve"> Правил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 части предоставления решения о согласовании проектной документации или мотивированном отказе в согласовании проектной документации дополнительно на бумажном носителе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З, Н - Р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а) отсутствие факта принятия решения о согласовании проектной документации или мотивированном отказе в согласовании проектной документации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б) обращение от имени заявителя неуполномоченного лица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в) заявителем подано заявление в министерство в электронной форме без представления в форме электронных документов, подписанных электронной подписью в соответствии с требованиями Федерального </w:t>
            </w:r>
            <w:hyperlink w:history="0" r:id="rId66" w:tooltip="Федеральный закон от 06.04.2011 N 63-ФЗ (ред. от 31.07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N 63-ФЗ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76" w:type="dxa"/>
          </w:tcPr>
          <w:p>
            <w:pPr>
              <w:pStyle w:val="0"/>
            </w:pPr>
            <w:r>
              <w:rPr>
                <w:sz w:val="20"/>
              </w:rPr>
              <w:t xml:space="preserve">г) поданная на бумажном носителе заявка не скреплена печатью заявителя (при наличии) (для юридического лица) и не подписана заявителем либо уполномоченным руководителем заявителя лицом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 Формы заявления и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1. Форма заявления о предоставлении</w:t>
      </w:r>
    </w:p>
    <w:p>
      <w:pPr>
        <w:pStyle w:val="0"/>
        <w:jc w:val="center"/>
      </w:pPr>
      <w:r>
        <w:rPr>
          <w:sz w:val="20"/>
        </w:rPr>
        <w:t xml:space="preserve">государственной услуги для юридического лица</w:t>
      </w:r>
    </w:p>
    <w:p>
      <w:pPr>
        <w:pStyle w:val="0"/>
        <w:jc w:val="center"/>
      </w:pPr>
      <w:r>
        <w:rPr>
          <w:sz w:val="20"/>
        </w:rPr>
        <w:t xml:space="preserve">и индивидуального предпринимателя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7"/>
        <w:gridCol w:w="4537"/>
      </w:tblGrid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Дата поступления материалов:</w:t>
            </w:r>
          </w:p>
        </w:tc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Регистрационный номер:</w:t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Указывается автоматически</w:t>
            </w:r>
          </w:p>
        </w:tc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Присваивается автоматически</w:t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Место проведения согласования</w:t>
            </w:r>
          </w:p>
        </w:tc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Уполномоченный орган субъекта (Саратовская область)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7"/>
        <w:gridCol w:w="4537"/>
      </w:tblGrid>
      <w:tr>
        <w:tc>
          <w:tcPr>
            <w:gridSpan w:val="2"/>
            <w:tcW w:w="90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Сведения о пользователе недр:</w:t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и организационно-правовая форма пользователя недр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  <w:t xml:space="preserve">ОГРН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Адрес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Телефон/факс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7"/>
        <w:gridCol w:w="4537"/>
      </w:tblGrid>
      <w:tr>
        <w:tc>
          <w:tcPr>
            <w:gridSpan w:val="2"/>
            <w:tcW w:w="907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проектной документации:</w:t>
            </w:r>
          </w:p>
        </w:tc>
      </w:tr>
      <w:tr>
        <w:tc>
          <w:tcPr>
            <w:gridSpan w:val="2"/>
            <w:tcW w:w="90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проектной документации:</w:t>
            </w:r>
          </w:p>
        </w:tc>
      </w:tr>
      <w:tr>
        <w:tc>
          <w:tcPr>
            <w:gridSpan w:val="2"/>
            <w:tcW w:w="90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4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и организационно-правовая форма проектной организации:</w:t>
            </w:r>
          </w:p>
        </w:tc>
      </w:tr>
      <w:tr>
        <w:tc>
          <w:tcPr>
            <w:gridSpan w:val="2"/>
            <w:tcW w:w="90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Год разработки проектной документации: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7"/>
        <w:gridCol w:w="4537"/>
      </w:tblGrid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Реквизиты лицензий на пользование недр: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  <w:t xml:space="preserve">Реквизиты заключения государственной экспертизы запасов полезных ископаемых: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7"/>
        <w:gridCol w:w="4537"/>
      </w:tblGrid>
      <w:tr>
        <w:tc>
          <w:tcPr>
            <w:gridSpan w:val="2"/>
            <w:tcW w:w="907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Контактная информация:</w:t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Телефон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37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</w:t>
            </w:r>
          </w:p>
        </w:tc>
        <w:tc>
          <w:tcPr>
            <w:tcW w:w="45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2. Форма заявления о предоставлении решения</w:t>
      </w:r>
    </w:p>
    <w:p>
      <w:pPr>
        <w:pStyle w:val="0"/>
        <w:jc w:val="center"/>
      </w:pPr>
      <w:r>
        <w:rPr>
          <w:sz w:val="20"/>
        </w:rPr>
        <w:t xml:space="preserve">о согласовании проектной документации или мотивированном</w:t>
      </w:r>
    </w:p>
    <w:p>
      <w:pPr>
        <w:pStyle w:val="0"/>
        <w:jc w:val="center"/>
      </w:pPr>
      <w:r>
        <w:rPr>
          <w:sz w:val="20"/>
        </w:rPr>
        <w:t xml:space="preserve">отказе в согласовании проектной документации дополнительно</w:t>
      </w:r>
    </w:p>
    <w:p>
      <w:pPr>
        <w:pStyle w:val="0"/>
        <w:jc w:val="center"/>
      </w:pPr>
      <w:r>
        <w:rPr>
          <w:sz w:val="20"/>
        </w:rPr>
        <w:t xml:space="preserve">на бумажном носителе (для юридического лица)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Министру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о предоставлении решения о согласовании проектной</w:t>
      </w:r>
    </w:p>
    <w:p>
      <w:pPr>
        <w:pStyle w:val="1"/>
        <w:jc w:val="both"/>
      </w:pPr>
      <w:r>
        <w:rPr>
          <w:sz w:val="20"/>
        </w:rPr>
        <w:t xml:space="preserve">           документации или мотивированном отказе в согласовании</w:t>
      </w:r>
    </w:p>
    <w:p>
      <w:pPr>
        <w:pStyle w:val="1"/>
        <w:jc w:val="both"/>
      </w:pPr>
      <w:r>
        <w:rPr>
          <w:sz w:val="20"/>
        </w:rPr>
        <w:t xml:space="preserve">         проектной документации дополнительно на бумажном носителе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Заявитель,  юридическое  лицо,  которому оказана государственная услуга</w:t>
      </w:r>
    </w:p>
    <w:p>
      <w:pPr>
        <w:pStyle w:val="1"/>
        <w:jc w:val="both"/>
      </w:pPr>
      <w:r>
        <w:rPr>
          <w:sz w:val="20"/>
        </w:rPr>
        <w:t xml:space="preserve">"Согласование     технических     проектов     разработки     месторождений</w:t>
      </w:r>
    </w:p>
    <w:p>
      <w:pPr>
        <w:pStyle w:val="1"/>
        <w:jc w:val="both"/>
      </w:pPr>
      <w:r>
        <w:rPr>
          <w:sz w:val="20"/>
        </w:rPr>
        <w:t xml:space="preserve">общераспространенных  полезных  ископаемых и иной проектной документации на</w:t>
      </w:r>
    </w:p>
    <w:p>
      <w:pPr>
        <w:pStyle w:val="1"/>
        <w:jc w:val="both"/>
      </w:pPr>
      <w:r>
        <w:rPr>
          <w:sz w:val="20"/>
        </w:rPr>
        <w:t xml:space="preserve">выполнение   работ,   связанных  с  пользованием  участками  недр  местного</w:t>
      </w:r>
    </w:p>
    <w:p>
      <w:pPr>
        <w:pStyle w:val="1"/>
        <w:jc w:val="both"/>
      </w:pPr>
      <w:r>
        <w:rPr>
          <w:sz w:val="20"/>
        </w:rPr>
        <w:t xml:space="preserve">значения":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(полное наименование юридического лица, его организационно-правовая форма)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(почтовый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(основной государственный регистрационный номер)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(должность, ФИО руководителя)</w:t>
      </w:r>
    </w:p>
    <w:p>
      <w:pPr>
        <w:pStyle w:val="1"/>
        <w:jc w:val="both"/>
      </w:pPr>
      <w:r>
        <w:rPr>
          <w:sz w:val="20"/>
        </w:rPr>
        <w:t xml:space="preserve">просит предоставить решение о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(выписать нужное: согласовании проектной документации/мотивированном отказе</w:t>
      </w:r>
    </w:p>
    <w:p>
      <w:pPr>
        <w:pStyle w:val="1"/>
        <w:jc w:val="both"/>
      </w:pPr>
      <w:r>
        <w:rPr>
          <w:sz w:val="20"/>
        </w:rPr>
        <w:t xml:space="preserve">                  в согласовании проектной документации/)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(указать реквизиты решения)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(указать вид, наименование проектной документации)</w:t>
      </w:r>
    </w:p>
    <w:p>
      <w:pPr>
        <w:pStyle w:val="1"/>
        <w:jc w:val="both"/>
      </w:pPr>
      <w:r>
        <w:rPr>
          <w:sz w:val="20"/>
        </w:rPr>
        <w:t xml:space="preserve">дополнительно на бумажном носителе.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личном 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       Саратовской области:</w:t>
      </w:r>
    </w:p>
    <w:p>
      <w:pPr>
        <w:pStyle w:val="1"/>
        <w:jc w:val="both"/>
      </w:pPr>
      <w:r>
        <w:rPr>
          <w:sz w:val="20"/>
        </w:rPr>
        <w:t xml:space="preserve">      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      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 _________  ______________________</w:t>
      </w:r>
    </w:p>
    <w:p>
      <w:pPr>
        <w:pStyle w:val="1"/>
        <w:jc w:val="both"/>
      </w:pPr>
      <w:r>
        <w:rPr>
          <w:sz w:val="20"/>
        </w:rPr>
        <w:t xml:space="preserve">(заявитель, уполномоченный представитель) (подпись)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М.П.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3. Форма заявления о предоставлении решения</w:t>
      </w:r>
    </w:p>
    <w:p>
      <w:pPr>
        <w:pStyle w:val="0"/>
        <w:jc w:val="center"/>
      </w:pPr>
      <w:r>
        <w:rPr>
          <w:sz w:val="20"/>
        </w:rPr>
        <w:t xml:space="preserve">о согласовании проектной документации или мотивированном</w:t>
      </w:r>
    </w:p>
    <w:p>
      <w:pPr>
        <w:pStyle w:val="0"/>
        <w:jc w:val="center"/>
      </w:pPr>
      <w:r>
        <w:rPr>
          <w:sz w:val="20"/>
        </w:rPr>
        <w:t xml:space="preserve">отказе в согласовании проектной документации дополнительно</w:t>
      </w:r>
    </w:p>
    <w:p>
      <w:pPr>
        <w:pStyle w:val="0"/>
        <w:jc w:val="center"/>
      </w:pPr>
      <w:r>
        <w:rPr>
          <w:sz w:val="20"/>
        </w:rPr>
        <w:t xml:space="preserve">на бумажном носителе (для индивидуального предпринимателя)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Министру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о предоставлении решения о согласовании проектной</w:t>
      </w:r>
    </w:p>
    <w:p>
      <w:pPr>
        <w:pStyle w:val="1"/>
        <w:jc w:val="both"/>
      </w:pPr>
      <w:r>
        <w:rPr>
          <w:sz w:val="20"/>
        </w:rPr>
        <w:t xml:space="preserve">           документации или мотивированном отказе в согласовании</w:t>
      </w:r>
    </w:p>
    <w:p>
      <w:pPr>
        <w:pStyle w:val="1"/>
        <w:jc w:val="both"/>
      </w:pPr>
      <w:r>
        <w:rPr>
          <w:sz w:val="20"/>
        </w:rPr>
        <w:t xml:space="preserve">         проектной документации дополнительно на бумажном носителе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    -   индивидуальный   предприниматель,   которому   оказана</w:t>
      </w:r>
    </w:p>
    <w:p>
      <w:pPr>
        <w:pStyle w:val="1"/>
        <w:jc w:val="both"/>
      </w:pPr>
      <w:r>
        <w:rPr>
          <w:sz w:val="20"/>
        </w:rPr>
        <w:t xml:space="preserve">государственная   услуга   "Согласование  технических  проектов  разработки</w:t>
      </w:r>
    </w:p>
    <w:p>
      <w:pPr>
        <w:pStyle w:val="1"/>
        <w:jc w:val="both"/>
      </w:pPr>
      <w:r>
        <w:rPr>
          <w:sz w:val="20"/>
        </w:rPr>
        <w:t xml:space="preserve">месторождений  общераспространенных  полезных  ископаемых  и иной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  на  выполнение работ, связанных с пользованием участками недр</w:t>
      </w:r>
    </w:p>
    <w:p>
      <w:pPr>
        <w:pStyle w:val="1"/>
        <w:jc w:val="both"/>
      </w:pPr>
      <w:r>
        <w:rPr>
          <w:sz w:val="20"/>
        </w:rPr>
        <w:t xml:space="preserve">местного значения":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(фамилия, имя, отчество/при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 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(почтовый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(основной государственный регистрационный номер</w:t>
      </w:r>
    </w:p>
    <w:p>
      <w:pPr>
        <w:pStyle w:val="1"/>
        <w:jc w:val="both"/>
      </w:pPr>
      <w:r>
        <w:rPr>
          <w:sz w:val="20"/>
        </w:rPr>
        <w:t xml:space="preserve">                     индивидуального предпринимателя)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просит предоставить решение о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(выбрать нужное: согласовании проектной документации/мотивированном отказе</w:t>
      </w:r>
    </w:p>
    <w:p>
      <w:pPr>
        <w:pStyle w:val="1"/>
        <w:jc w:val="both"/>
      </w:pPr>
      <w:r>
        <w:rPr>
          <w:sz w:val="20"/>
        </w:rPr>
        <w:t xml:space="preserve">                  в согласовании проектной документации/)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(указать реквизиты решения)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(указать вид, наименование проектной документации)</w:t>
      </w:r>
    </w:p>
    <w:p>
      <w:pPr>
        <w:pStyle w:val="1"/>
        <w:jc w:val="both"/>
      </w:pPr>
      <w:r>
        <w:rPr>
          <w:sz w:val="20"/>
        </w:rPr>
        <w:t xml:space="preserve">дополнительно на бумажном носителе.</w:t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личном 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       Саратовской области:</w:t>
      </w:r>
    </w:p>
    <w:p>
      <w:pPr>
        <w:pStyle w:val="1"/>
        <w:jc w:val="both"/>
      </w:pPr>
      <w:r>
        <w:rPr>
          <w:sz w:val="20"/>
        </w:rPr>
        <w:t xml:space="preserve">       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      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 _________  ______________________</w:t>
      </w:r>
    </w:p>
    <w:p>
      <w:pPr>
        <w:pStyle w:val="1"/>
        <w:jc w:val="both"/>
      </w:pPr>
      <w:r>
        <w:rPr>
          <w:sz w:val="20"/>
        </w:rPr>
        <w:t xml:space="preserve">(заявитель, уполномоченный представитель) (подпись)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М.П.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4. Форма согласия на обработку персональных данных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реквизиты документа, удостоверяющего личность: вид документа 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(паспорт, иной документ)</w:t>
      </w:r>
    </w:p>
    <w:p>
      <w:pPr>
        <w:pStyle w:val="1"/>
        <w:jc w:val="both"/>
      </w:pPr>
      <w:r>
        <w:rPr>
          <w:sz w:val="20"/>
        </w:rPr>
        <w:t xml:space="preserve">серия ______ N ____ выдан "___" ______ г. 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(наименование подразделения, выдавшего документ, удостоверяющий личность)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 код  подразделения ________,</w:t>
      </w:r>
    </w:p>
    <w:p>
      <w:pPr>
        <w:pStyle w:val="1"/>
        <w:jc w:val="both"/>
      </w:pPr>
      <w:r>
        <w:rPr>
          <w:sz w:val="20"/>
        </w:rPr>
        <w:t xml:space="preserve">адрес  регистрации: 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даю  свое  согласие  министерству природных ресурсов и экологии Саратовской</w:t>
      </w:r>
    </w:p>
    <w:p>
      <w:pPr>
        <w:pStyle w:val="1"/>
        <w:jc w:val="both"/>
      </w:pPr>
      <w:r>
        <w:rPr>
          <w:sz w:val="20"/>
        </w:rPr>
        <w:t xml:space="preserve">области на обработку моих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Согласие  касается  фамилии,  имени,  отчества, данных о дате рождения,</w:t>
      </w:r>
    </w:p>
    <w:p>
      <w:pPr>
        <w:pStyle w:val="1"/>
        <w:jc w:val="both"/>
      </w:pPr>
      <w:r>
        <w:rPr>
          <w:sz w:val="20"/>
        </w:rPr>
        <w:t xml:space="preserve">документа,  удостоверяющего  личность  (его  серии,  номере,  дате  и месте</w:t>
      </w:r>
    </w:p>
    <w:p>
      <w:pPr>
        <w:pStyle w:val="1"/>
        <w:jc w:val="both"/>
      </w:pPr>
      <w:r>
        <w:rPr>
          <w:sz w:val="20"/>
        </w:rPr>
        <w:t xml:space="preserve">выдачи), адреса постоянного проживания, номера телефона, адреса электронной</w:t>
      </w:r>
    </w:p>
    <w:p>
      <w:pPr>
        <w:pStyle w:val="1"/>
        <w:jc w:val="both"/>
      </w:pPr>
      <w:r>
        <w:rPr>
          <w:sz w:val="20"/>
        </w:rPr>
        <w:t xml:space="preserve">почты.</w:t>
      </w:r>
    </w:p>
    <w:p>
      <w:pPr>
        <w:pStyle w:val="1"/>
        <w:jc w:val="both"/>
      </w:pPr>
      <w:r>
        <w:rPr>
          <w:sz w:val="20"/>
        </w:rPr>
        <w:t xml:space="preserve">    Я  даю  согласие  на  использование персональных данных исключительно в</w:t>
      </w:r>
    </w:p>
    <w:p>
      <w:pPr>
        <w:pStyle w:val="1"/>
        <w:jc w:val="both"/>
      </w:pPr>
      <w:r>
        <w:rPr>
          <w:sz w:val="20"/>
        </w:rPr>
        <w:t xml:space="preserve">целях   получения   решения   о   согласовании   (мотивированном  отказе  в</w:t>
      </w:r>
    </w:p>
    <w:p>
      <w:pPr>
        <w:pStyle w:val="1"/>
        <w:jc w:val="both"/>
      </w:pPr>
      <w:r>
        <w:rPr>
          <w:sz w:val="20"/>
        </w:rPr>
        <w:t xml:space="preserve">согласовании)  проектной  документации  на  бумажном  носителе  и  оказания</w:t>
      </w:r>
    </w:p>
    <w:p>
      <w:pPr>
        <w:pStyle w:val="1"/>
        <w:jc w:val="both"/>
      </w:pPr>
      <w:r>
        <w:rPr>
          <w:sz w:val="20"/>
        </w:rPr>
        <w:t xml:space="preserve">государственных  услуг в сфере недропользования, а также на хранение данных</w:t>
      </w:r>
    </w:p>
    <w:p>
      <w:pPr>
        <w:pStyle w:val="1"/>
        <w:jc w:val="both"/>
      </w:pPr>
      <w:r>
        <w:rPr>
          <w:sz w:val="20"/>
        </w:rPr>
        <w:t xml:space="preserve">об  оказанных  услугах  на  бумажном  и  электронном носителях, в том числе</w:t>
      </w:r>
    </w:p>
    <w:p>
      <w:pPr>
        <w:pStyle w:val="1"/>
        <w:jc w:val="both"/>
      </w:pPr>
      <w:r>
        <w:rPr>
          <w:sz w:val="20"/>
        </w:rPr>
        <w:t xml:space="preserve">размещение  сведений  об  оказанных  услугах  на  официальном  сайте в сети</w:t>
      </w:r>
    </w:p>
    <w:p>
      <w:pPr>
        <w:pStyle w:val="1"/>
        <w:jc w:val="both"/>
      </w:pPr>
      <w:r>
        <w:rPr>
          <w:sz w:val="20"/>
        </w:rPr>
        <w:t xml:space="preserve">"Интернет".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предоставляется  мной  на осуществление действий в</w:t>
      </w:r>
    </w:p>
    <w:p>
      <w:pPr>
        <w:pStyle w:val="1"/>
        <w:jc w:val="both"/>
      </w:pPr>
      <w:r>
        <w:rPr>
          <w:sz w:val="20"/>
        </w:rPr>
        <w:t xml:space="preserve">отношении  моих  персональных  данных,  которые  необходимы  для достижения</w:t>
      </w:r>
    </w:p>
    <w:p>
      <w:pPr>
        <w:pStyle w:val="1"/>
        <w:jc w:val="both"/>
      </w:pPr>
      <w:r>
        <w:rPr>
          <w:sz w:val="20"/>
        </w:rPr>
        <w:t xml:space="preserve">указанных  выше  целей,  включая  (без  ограничения)  сбор, систематизацию,</w:t>
      </w:r>
    </w:p>
    <w:p>
      <w:pPr>
        <w:pStyle w:val="1"/>
        <w:jc w:val="both"/>
      </w:pPr>
      <w:r>
        <w:rPr>
          <w:sz w:val="20"/>
        </w:rPr>
        <w:t xml:space="preserve">накопление,  хранение,  уточнение  (обновление,  изменение), использование,</w:t>
      </w:r>
    </w:p>
    <w:p>
      <w:pPr>
        <w:pStyle w:val="1"/>
        <w:jc w:val="both"/>
      </w:pPr>
      <w:r>
        <w:rPr>
          <w:sz w:val="20"/>
        </w:rPr>
        <w:t xml:space="preserve">передачу  третьим  лицам  для осуществления действий по обмену информацией,</w:t>
      </w:r>
    </w:p>
    <w:p>
      <w:pPr>
        <w:pStyle w:val="1"/>
        <w:jc w:val="both"/>
      </w:pPr>
      <w:r>
        <w:rPr>
          <w:sz w:val="20"/>
        </w:rPr>
        <w:t xml:space="preserve">обезличивание,  блокирование  персональных  данных,  а  также осуществление</w:t>
      </w:r>
    </w:p>
    <w:p>
      <w:pPr>
        <w:pStyle w:val="1"/>
        <w:jc w:val="both"/>
      </w:pPr>
      <w:r>
        <w:rPr>
          <w:sz w:val="20"/>
        </w:rPr>
        <w:t xml:space="preserve">любых   иных   действий,   предусмотренных   действующим  законодательством</w:t>
      </w:r>
    </w:p>
    <w:p>
      <w:pPr>
        <w:pStyle w:val="1"/>
        <w:jc w:val="both"/>
      </w:pPr>
      <w:r>
        <w:rPr>
          <w:sz w:val="20"/>
        </w:rPr>
        <w:t xml:space="preserve">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Я  проинформирован(а),  что 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 области  гарантирует  обработку  моих  персональных  данных  в</w:t>
      </w:r>
    </w:p>
    <w:p>
      <w:pPr>
        <w:pStyle w:val="1"/>
        <w:jc w:val="both"/>
      </w:pPr>
      <w:r>
        <w:rPr>
          <w:sz w:val="20"/>
        </w:rPr>
        <w:t xml:space="preserve">соответствии  с  действующим  законодательством  Российской  Федерации  как</w:t>
      </w:r>
    </w:p>
    <w:p>
      <w:pPr>
        <w:pStyle w:val="1"/>
        <w:jc w:val="both"/>
      </w:pPr>
      <w:r>
        <w:rPr>
          <w:sz w:val="20"/>
        </w:rPr>
        <w:t xml:space="preserve">неавтоматизированным, так и автоматизированным способами.</w:t>
      </w:r>
    </w:p>
    <w:p>
      <w:pPr>
        <w:pStyle w:val="1"/>
        <w:jc w:val="both"/>
      </w:pPr>
      <w:r>
        <w:rPr>
          <w:sz w:val="20"/>
        </w:rPr>
        <w:t xml:space="preserve">    Данное  согласие  действует  до достижения целей обработки персональных</w:t>
      </w:r>
    </w:p>
    <w:p>
      <w:pPr>
        <w:pStyle w:val="1"/>
        <w:jc w:val="both"/>
      </w:pPr>
      <w:r>
        <w:rPr>
          <w:sz w:val="20"/>
        </w:rPr>
        <w:t xml:space="preserve">данных или в течение срока хранения информации.</w:t>
      </w:r>
    </w:p>
    <w:p>
      <w:pPr>
        <w:pStyle w:val="1"/>
        <w:jc w:val="both"/>
      </w:pPr>
      <w:r>
        <w:rPr>
          <w:sz w:val="20"/>
        </w:rPr>
        <w:t xml:space="preserve">    Данное согласие может быть отозвано в любой момент по моему письменному</w:t>
      </w:r>
    </w:p>
    <w:p>
      <w:pPr>
        <w:pStyle w:val="1"/>
        <w:jc w:val="both"/>
      </w:pPr>
      <w:r>
        <w:rPr>
          <w:sz w:val="20"/>
        </w:rPr>
        <w:t xml:space="preserve">заявлению.</w:t>
      </w:r>
    </w:p>
    <w:p>
      <w:pPr>
        <w:pStyle w:val="1"/>
        <w:jc w:val="both"/>
      </w:pPr>
      <w:r>
        <w:rPr>
          <w:sz w:val="20"/>
        </w:rPr>
        <w:t xml:space="preserve">    Я  подтверждаю,  что,  давая  такое согласие, я действую по собственной</w:t>
      </w:r>
    </w:p>
    <w:p>
      <w:pPr>
        <w:pStyle w:val="1"/>
        <w:jc w:val="both"/>
      </w:pPr>
      <w:r>
        <w:rPr>
          <w:sz w:val="20"/>
        </w:rPr>
        <w:t xml:space="preserve">воле и в своих интересах.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              __________________/____________________/</w:t>
      </w:r>
    </w:p>
    <w:p>
      <w:pPr>
        <w:pStyle w:val="1"/>
        <w:jc w:val="both"/>
      </w:pPr>
      <w:r>
        <w:rPr>
          <w:sz w:val="20"/>
        </w:rPr>
        <w:t xml:space="preserve">       (Дата)                          (Подпись)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06.11.2014 N 453</w:t>
            <w:br/>
            <w:t>(ред. от 17.07.2026)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8&amp;n=145361&amp;dst=100065" TargetMode = "External"/><Relationship Id="rId9" Type="http://schemas.openxmlformats.org/officeDocument/2006/relationships/hyperlink" Target="https://login.consultant.ru/link/?req=doc&amp;base=RLAW358&amp;n=145362&amp;dst=100088" TargetMode = "External"/><Relationship Id="rId10" Type="http://schemas.openxmlformats.org/officeDocument/2006/relationships/hyperlink" Target="https://login.consultant.ru/link/?req=doc&amp;base=RLAW358&amp;n=145363&amp;dst=100050" TargetMode = "External"/><Relationship Id="rId11" Type="http://schemas.openxmlformats.org/officeDocument/2006/relationships/hyperlink" Target="https://login.consultant.ru/link/?req=doc&amp;base=RLAW358&amp;n=145364&amp;dst=100041" TargetMode = "External"/><Relationship Id="rId12" Type="http://schemas.openxmlformats.org/officeDocument/2006/relationships/hyperlink" Target="https://login.consultant.ru/link/?req=doc&amp;base=RLAW358&amp;n=121199&amp;dst=100041" TargetMode = "External"/><Relationship Id="rId13" Type="http://schemas.openxmlformats.org/officeDocument/2006/relationships/hyperlink" Target="https://login.consultant.ru/link/?req=doc&amp;base=RLAW358&amp;n=98581&amp;dst=100005" TargetMode = "External"/><Relationship Id="rId14" Type="http://schemas.openxmlformats.org/officeDocument/2006/relationships/hyperlink" Target="https://login.consultant.ru/link/?req=doc&amp;base=RLAW358&amp;n=145365&amp;dst=100061" TargetMode = "External"/><Relationship Id="rId15" Type="http://schemas.openxmlformats.org/officeDocument/2006/relationships/hyperlink" Target="https://login.consultant.ru/link/?req=doc&amp;base=RLAW358&amp;n=110421&amp;dst=100005" TargetMode = "External"/><Relationship Id="rId16" Type="http://schemas.openxmlformats.org/officeDocument/2006/relationships/hyperlink" Target="https://login.consultant.ru/link/?req=doc&amp;base=RLAW358&amp;n=121159&amp;dst=100714" TargetMode = "External"/><Relationship Id="rId17" Type="http://schemas.openxmlformats.org/officeDocument/2006/relationships/hyperlink" Target="https://login.consultant.ru/link/?req=doc&amp;base=RLAW358&amp;n=121160&amp;dst=100094" TargetMode = "External"/><Relationship Id="rId18" Type="http://schemas.openxmlformats.org/officeDocument/2006/relationships/hyperlink" Target="https://login.consultant.ru/link/?req=doc&amp;base=RLAW358&amp;n=129715&amp;dst=100005" TargetMode = "External"/><Relationship Id="rId19" Type="http://schemas.openxmlformats.org/officeDocument/2006/relationships/hyperlink" Target="https://login.consultant.ru/link/?req=doc&amp;base=RLAW358&amp;n=132690&amp;dst=100005" TargetMode = "External"/><Relationship Id="rId20" Type="http://schemas.openxmlformats.org/officeDocument/2006/relationships/hyperlink" Target="https://login.consultant.ru/link/?req=doc&amp;base=RLAW358&amp;n=135943&amp;dst=100005" TargetMode = "External"/><Relationship Id="rId21" Type="http://schemas.openxmlformats.org/officeDocument/2006/relationships/hyperlink" Target="https://login.consultant.ru/link/?req=doc&amp;base=RLAW358&amp;n=140837&amp;dst=100094" TargetMode = "External"/><Relationship Id="rId22" Type="http://schemas.openxmlformats.org/officeDocument/2006/relationships/hyperlink" Target="https://login.consultant.ru/link/?req=doc&amp;base=RLAW358&amp;n=185558&amp;dst=100029" TargetMode = "External"/><Relationship Id="rId23" Type="http://schemas.openxmlformats.org/officeDocument/2006/relationships/hyperlink" Target="https://login.consultant.ru/link/?req=doc&amp;base=RLAW358&amp;n=187628&amp;dst=100140" TargetMode = "External"/><Relationship Id="rId24" Type="http://schemas.openxmlformats.org/officeDocument/2006/relationships/hyperlink" Target="https://login.consultant.ru/link/?req=doc&amp;base=RLAW358&amp;n=200041&amp;dst=100005" TargetMode = "External"/><Relationship Id="rId25" Type="http://schemas.openxmlformats.org/officeDocument/2006/relationships/hyperlink" Target="https://login.consultant.ru/link/?req=doc&amp;base=LAW&amp;n=523574&amp;dst=142" TargetMode = "External"/><Relationship Id="rId26" Type="http://schemas.openxmlformats.org/officeDocument/2006/relationships/hyperlink" Target="https://login.consultant.ru/link/?req=doc&amp;base=LAW&amp;n=518853" TargetMode = "External"/><Relationship Id="rId27" Type="http://schemas.openxmlformats.org/officeDocument/2006/relationships/hyperlink" Target="https://login.consultant.ru/link/?req=doc&amp;base=RLAW358&amp;n=199146&amp;dst=100471" TargetMode = "External"/><Relationship Id="rId28" Type="http://schemas.openxmlformats.org/officeDocument/2006/relationships/hyperlink" Target="https://login.consultant.ru/link/?req=doc&amp;base=RLAW358&amp;n=187628&amp;dst=100141" TargetMode = "External"/><Relationship Id="rId29" Type="http://schemas.openxmlformats.org/officeDocument/2006/relationships/hyperlink" Target="https://login.consultant.ru/link/?req=doc&amp;base=RLAW358&amp;n=98581&amp;dst=100006" TargetMode = "External"/><Relationship Id="rId30" Type="http://schemas.openxmlformats.org/officeDocument/2006/relationships/hyperlink" Target="https://login.consultant.ru/link/?req=doc&amp;base=RLAW358&amp;n=132690&amp;dst=100006" TargetMode = "External"/><Relationship Id="rId31" Type="http://schemas.openxmlformats.org/officeDocument/2006/relationships/hyperlink" Target="https://login.consultant.ru/link/?req=doc&amp;base=RLAW358&amp;n=200041&amp;dst=100005" TargetMode = "External"/><Relationship Id="rId32" Type="http://schemas.openxmlformats.org/officeDocument/2006/relationships/hyperlink" Target="https://login.consultant.ru/link/?req=doc&amp;base=RLAW358&amp;n=98581&amp;dst=100007" TargetMode = "External"/><Relationship Id="rId33" Type="http://schemas.openxmlformats.org/officeDocument/2006/relationships/hyperlink" Target="https://login.consultant.ru/link/?req=doc&amp;base=RLAW358&amp;n=98581&amp;dst=100008" TargetMode = "External"/><Relationship Id="rId34" Type="http://schemas.openxmlformats.org/officeDocument/2006/relationships/hyperlink" Target="https://login.consultant.ru/link/?req=doc&amp;base=RLAW358&amp;n=200041&amp;dst=100005" TargetMode = "External"/><Relationship Id="rId35" Type="http://schemas.openxmlformats.org/officeDocument/2006/relationships/hyperlink" Target="https://minforest.saratov.gov.ru/" TargetMode = "External"/><Relationship Id="rId36" Type="http://schemas.openxmlformats.org/officeDocument/2006/relationships/hyperlink" Target="https://www.gosuslugi.ru/" TargetMode = "External"/><Relationship Id="rId37" Type="http://schemas.openxmlformats.org/officeDocument/2006/relationships/hyperlink" Target="https://minforest.saratov.gov.ru/" TargetMode = "External"/><Relationship Id="rId38" Type="http://schemas.openxmlformats.org/officeDocument/2006/relationships/hyperlink" Target="https://www.gosuslugi.ru/" TargetMode = "External"/><Relationship Id="rId39" Type="http://schemas.openxmlformats.org/officeDocument/2006/relationships/hyperlink" Target="https://login.consultant.ru/link/?req=doc&amp;base=LAW&amp;n=511602&amp;dst=100088" TargetMode = "External"/><Relationship Id="rId40" Type="http://schemas.openxmlformats.org/officeDocument/2006/relationships/hyperlink" Target="https://login.consultant.ru/link/?req=doc&amp;base=LAW&amp;n=518853&amp;dst=75" TargetMode = "External"/><Relationship Id="rId41" Type="http://schemas.openxmlformats.org/officeDocument/2006/relationships/hyperlink" Target="https://login.consultant.ru/link/?req=doc&amp;base=LAW&amp;n=518853&amp;dst=79" TargetMode = "External"/><Relationship Id="rId42" Type="http://schemas.openxmlformats.org/officeDocument/2006/relationships/hyperlink" Target="https://login.consultant.ru/link/?req=doc&amp;base=LAW&amp;n=518853&amp;dst=81" TargetMode = "External"/><Relationship Id="rId43" Type="http://schemas.openxmlformats.org/officeDocument/2006/relationships/hyperlink" Target="https://login.consultant.ru/link/?req=doc&amp;base=LAW&amp;n=518853&amp;dst=106" TargetMode = "External"/><Relationship Id="rId44" Type="http://schemas.openxmlformats.org/officeDocument/2006/relationships/hyperlink" Target="https://login.consultant.ru/link/?req=doc&amp;base=LAW&amp;n=518853&amp;dst=106" TargetMode = "External"/><Relationship Id="rId45" Type="http://schemas.openxmlformats.org/officeDocument/2006/relationships/hyperlink" Target="https://login.consultant.ru/link/?req=doc&amp;base=LAW&amp;n=518853&amp;dst=75" TargetMode = "External"/><Relationship Id="rId46" Type="http://schemas.openxmlformats.org/officeDocument/2006/relationships/hyperlink" Target="https://login.consultant.ru/link/?req=doc&amp;base=LAW&amp;n=518853&amp;dst=79" TargetMode = "External"/><Relationship Id="rId47" Type="http://schemas.openxmlformats.org/officeDocument/2006/relationships/hyperlink" Target="https://login.consultant.ru/link/?req=doc&amp;base=LAW&amp;n=518853&amp;dst=70" TargetMode = "External"/><Relationship Id="rId48" Type="http://schemas.openxmlformats.org/officeDocument/2006/relationships/hyperlink" Target="https://login.consultant.ru/link/?req=doc&amp;base=LAW&amp;n=523235&amp;dst=364" TargetMode = "External"/><Relationship Id="rId49" Type="http://schemas.openxmlformats.org/officeDocument/2006/relationships/hyperlink" Target="https://login.consultant.ru/link/?req=doc&amp;base=LAW&amp;n=511602" TargetMode = "External"/><Relationship Id="rId50" Type="http://schemas.openxmlformats.org/officeDocument/2006/relationships/hyperlink" Target="https://login.consultant.ru/link/?req=doc&amp;base=LAW&amp;n=518853&amp;dst=100013" TargetMode = "External"/><Relationship Id="rId51" Type="http://schemas.openxmlformats.org/officeDocument/2006/relationships/hyperlink" Target="https://login.consultant.ru/link/?req=doc&amp;base=LAW&amp;n=523574" TargetMode = "External"/><Relationship Id="rId52" Type="http://schemas.openxmlformats.org/officeDocument/2006/relationships/hyperlink" Target="https://login.consultant.ru/link/?req=doc&amp;base=LAW&amp;n=536617&amp;dst=100902" TargetMode = "External"/><Relationship Id="rId53" Type="http://schemas.openxmlformats.org/officeDocument/2006/relationships/hyperlink" Target="https://login.consultant.ru/link/?req=doc&amp;base=LAW&amp;n=523574&amp;dst=820" TargetMode = "External"/><Relationship Id="rId54" Type="http://schemas.openxmlformats.org/officeDocument/2006/relationships/hyperlink" Target="https://login.consultant.ru/link/?req=doc&amp;base=LAW&amp;n=523574&amp;dst=821" TargetMode = "External"/><Relationship Id="rId55" Type="http://schemas.openxmlformats.org/officeDocument/2006/relationships/hyperlink" Target="https://login.consultant.ru/link/?req=doc&amp;base=LAW&amp;n=523574&amp;dst=373" TargetMode = "External"/><Relationship Id="rId56" Type="http://schemas.openxmlformats.org/officeDocument/2006/relationships/hyperlink" Target="https://login.consultant.ru/link/?req=doc&amp;base=RLAW358&amp;n=195038" TargetMode = "External"/><Relationship Id="rId57" Type="http://schemas.openxmlformats.org/officeDocument/2006/relationships/hyperlink" Target="https://login.consultant.ru/link/?req=doc&amp;base=LAW&amp;n=518853&amp;dst=75" TargetMode = "External"/><Relationship Id="rId58" Type="http://schemas.openxmlformats.org/officeDocument/2006/relationships/hyperlink" Target="https://login.consultant.ru/link/?req=doc&amp;base=LAW&amp;n=518853&amp;dst=79" TargetMode = "External"/><Relationship Id="rId59" Type="http://schemas.openxmlformats.org/officeDocument/2006/relationships/hyperlink" Target="https://login.consultant.ru/link/?req=doc&amp;base=LAW&amp;n=518853&amp;dst=81" TargetMode = "External"/><Relationship Id="rId60" Type="http://schemas.openxmlformats.org/officeDocument/2006/relationships/hyperlink" Target="https://login.consultant.ru/link/?req=doc&amp;base=LAW&amp;n=511602&amp;dst=100088" TargetMode = "External"/><Relationship Id="rId61" Type="http://schemas.openxmlformats.org/officeDocument/2006/relationships/hyperlink" Target="https://login.consultant.ru/link/?req=doc&amp;base=LAW&amp;n=518853&amp;dst=106" TargetMode = "External"/><Relationship Id="rId62" Type="http://schemas.openxmlformats.org/officeDocument/2006/relationships/hyperlink" Target="https://login.consultant.ru/link/?req=doc&amp;base=LAW&amp;n=518853&amp;dst=106" TargetMode = "External"/><Relationship Id="rId63" Type="http://schemas.openxmlformats.org/officeDocument/2006/relationships/hyperlink" Target="https://login.consultant.ru/link/?req=doc&amp;base=LAW&amp;n=518853&amp;dst=75" TargetMode = "External"/><Relationship Id="rId64" Type="http://schemas.openxmlformats.org/officeDocument/2006/relationships/hyperlink" Target="https://login.consultant.ru/link/?req=doc&amp;base=LAW&amp;n=518853&amp;dst=79" TargetMode = "External"/><Relationship Id="rId65" Type="http://schemas.openxmlformats.org/officeDocument/2006/relationships/hyperlink" Target="https://login.consultant.ru/link/?req=doc&amp;base=LAW&amp;n=518853&amp;dst=70" TargetMode = "External"/><Relationship Id="rId66" Type="http://schemas.openxmlformats.org/officeDocument/2006/relationships/hyperlink" Target="https://login.consultant.ru/link/?req=doc&amp;base=LAW&amp;n=511602" TargetMode = "External"/><Relationship Id="rId67" Type="http://schemas.openxmlformats.org/officeDocument/2006/relationships/image" Target="media/image2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06.11.2014 N 453
(ред. от 17.07.2026)
"Об утверждении административного регламента по предоставлению государственной услуги"</dc:title>
  <dcterms:created xsi:type="dcterms:W3CDTF">2026-08-03T12:06:50Z</dcterms:created>
</cp:coreProperties>
</file>