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contextualSpacing w:val="true"/>
        <w:jc w:val="center"/>
        <w:spacing w:after="0" w:afterAutospacing="0"/>
        <w:rPr>
          <w:rFonts w:ascii="PT Astra Serif" w:hAnsi="PT Astra Serif" w:cs="PT Astra Serif" w:eastAsia="PT Astra Serif"/>
          <w:b/>
          <w:bCs/>
          <w:sz w:val="28"/>
          <w:szCs w:val="32"/>
          <w:highlight w:val="none"/>
        </w:rPr>
      </w:pPr>
      <w:r>
        <w:rPr>
          <w:rFonts w:ascii="PT Astra Serif" w:hAnsi="PT Astra Serif" w:cs="PT Astra Serif" w:eastAsia="PT Astra Serif"/>
          <w:b/>
          <w:bCs/>
          <w:sz w:val="28"/>
          <w:szCs w:val="32"/>
        </w:rPr>
        <w:t xml:space="preserve">Перечень документов для предоставления государственной услуги </w:t>
      </w:r>
      <w:r>
        <w:rPr>
          <w:rFonts w:ascii="PT Astra Serif" w:hAnsi="PT Astra Serif" w:cs="PT Astra Serif" w:eastAsia="PT Astra Serif"/>
          <w:b/>
          <w:bCs/>
          <w:sz w:val="28"/>
          <w:szCs w:val="32"/>
        </w:rPr>
      </w:r>
      <w:r>
        <w:rPr>
          <w:rFonts w:ascii="PT Astra Serif" w:hAnsi="PT Astra Serif" w:cs="PT Astra Serif" w:eastAsia="PT Astra Serif"/>
          <w:sz w:val="28"/>
        </w:rPr>
      </w:r>
      <w:r>
        <w:rPr>
          <w:rFonts w:ascii="PT Astra Serif" w:hAnsi="PT Astra Serif" w:cs="PT Astra Serif" w:eastAsia="PT Astra Serif"/>
          <w:b/>
          <w:bCs/>
          <w:sz w:val="28"/>
          <w:szCs w:val="28"/>
        </w:rPr>
      </w:r>
      <w:r>
        <w:rPr>
          <w:rFonts w:ascii="PT Astra Serif" w:hAnsi="PT Astra Serif" w:cs="PT Astra Serif" w:eastAsia="PT Astra Serif"/>
          <w:b/>
          <w:sz w:val="28"/>
        </w:rPr>
        <w:t xml:space="preserve">«</w:t>
      </w:r>
      <w:r>
        <w:rPr>
          <w:rFonts w:ascii="PT Astra Serif" w:hAnsi="PT Astra Serif" w:cs="PT Astra Serif" w:eastAsia="PT Astra Serif"/>
          <w:b/>
          <w:sz w:val="28"/>
        </w:rPr>
        <w:t xml:space="preserve"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</w:t>
      </w:r>
      <w:r>
        <w:rPr>
          <w:rFonts w:ascii="PT Astra Serif" w:hAnsi="PT Astra Serif" w:cs="PT Astra Serif" w:eastAsia="PT Astra Serif"/>
          <w:b/>
          <w:sz w:val="28"/>
        </w:rPr>
        <w:t xml:space="preserve">» </w:t>
      </w:r>
      <w:r>
        <w:rPr>
          <w:rFonts w:ascii="PT Astra Serif" w:hAnsi="PT Astra Serif" w:cs="PT Astra Serif" w:eastAsia="PT Astra Serif"/>
          <w:b/>
          <w:bCs/>
          <w:sz w:val="28"/>
          <w:szCs w:val="28"/>
        </w:rPr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contextualSpacing w:val="true"/>
        <w:jc w:val="center"/>
        <w:spacing w:after="0" w:afterAutospacing="0"/>
        <w:rPr>
          <w:rFonts w:ascii="PT Astra Serif" w:hAnsi="PT Astra Serif" w:cs="PT Astra Serif" w:eastAsia="PT Astra Serif"/>
          <w:b/>
          <w:sz w:val="28"/>
          <w:szCs w:val="32"/>
        </w:rPr>
      </w:pPr>
      <w:r>
        <w:rPr>
          <w:rFonts w:ascii="PT Astra Serif" w:hAnsi="PT Astra Serif" w:cs="PT Astra Serif" w:eastAsia="PT Astra Serif"/>
          <w:b/>
          <w:sz w:val="28"/>
          <w:highlight w:val="none"/>
        </w:rPr>
      </w:r>
      <w:r>
        <w:rPr>
          <w:rFonts w:ascii="PT Astra Serif" w:hAnsi="PT Astra Serif" w:cs="PT Astra Serif" w:eastAsia="PT Astra Serif"/>
          <w:b/>
          <w:sz w:val="28"/>
          <w:highlight w:val="none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 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Для согласования проектной документации пользователь недр или его уполномоченный представитель подает 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заявление, которое должно содержать: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а) наименование и организационно-правовую форму, основной государственный регистрационный номер записи о государственной регистрации, идентификационный номер налогоплательщика, адрес места нахождения, телефон и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 адрес электронной почты пользователя недр - для юридического лица;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б) фамилию, имя, отчество (при наличии), данные документа, удостоверяющего личность, адрес места жительства, телефон и адрес электронной почты - для индивидуального п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редпринимателя;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в) наименование представляемой на согласование проектной документации;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г) реквизиты лицензии на пользование участком недр с реквизитами всех изменений;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д) реквизи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 (при наличии);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е) реквизиты предыдущего решения комиссии или уполномоченного органа (если рассмотрение проектной документации проводится повторно).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К заявлению, 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прилагаются следующие документы: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а) проектная документация, подписанная уполномоченным представителем пользователя недр;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б) документ (документы), подтверждающий полномочия лица на осуществление действий от имени пользователя недр, за исключением случаев под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писания заявки индивидуальным предпринимателем (если пользователем недр является индивидуальный предприниматель) либо ли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(если пользователем недр является юридическое лицо). Указанный документ может быть оформлен в машиночита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емом виде. Если доверенность подписана лицом, не являющимся индивидуальным предпринимател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ем либо не указанным в едином государственном реестре юридических лиц в качестве лица, имеющего право без доверенности действовать от имени юридического лица, требуется представление документов, подтверждающих полномочия такого лица на выдачу доверенности;</w:t>
      </w:r>
      <w:r>
        <w:rPr>
          <w:rFonts w:ascii="PT Astra Serif" w:hAnsi="PT Astra Serif" w:cs="PT Astra Serif" w:eastAsia="PT Astra Serif"/>
          <w:sz w:val="28"/>
        </w:rPr>
      </w:r>
    </w:p>
    <w:p>
      <w:pPr>
        <w:pStyle w:val="598"/>
        <w:ind w:firstLine="709"/>
        <w:jc w:val="both"/>
        <w:spacing w:lineRule="auto" w:line="240" w:after="0"/>
        <w:widowControl w:val="off"/>
        <w:rPr>
          <w:rFonts w:ascii="PT Astra Serif" w:hAnsi="PT Astra Serif" w:cs="PT Astra Serif" w:eastAsia="PT Astra Serif"/>
          <w:sz w:val="28"/>
          <w:szCs w:val="28"/>
        </w:rPr>
        <w:suppressLineNumbers w:val="0"/>
      </w:pPr>
      <w:r>
        <w:rPr>
          <w:rFonts w:ascii="PT Astra Serif" w:hAnsi="PT Astra Serif" w:cs="PT Astra Serif" w:eastAsia="PT Astra Serif"/>
          <w:sz w:val="28"/>
          <w:szCs w:val="28"/>
        </w:rPr>
        <w:t xml:space="preserve">в) договор или копия договора, предусматривающего передачу вскрышных и вмещающих горных пород, в том числе заключенного под отлагательным условием в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 соответствии со статьей 157 Гражданского кодекса Российской Федерации (в случае подготовки технических и технологических решений по использованию вскрышных и вмещающих горных пород для целей, предусмотренных пунктами 6 и 7 части первой статьи 23.5 Закона </w:t>
      </w:r>
      <w:r>
        <w:rPr>
          <w:rFonts w:ascii="PT Astra Serif" w:hAnsi="PT Astra Serif" w:cs="PT Astra Serif" w:eastAsia="PT Astra Serif"/>
          <w:sz w:val="28"/>
          <w:szCs w:val="28"/>
        </w:rPr>
        <w:t xml:space="preserve">Российской Федерации «О недрах») (при наличии).</w:t>
      </w:r>
      <w:r>
        <w:rPr>
          <w:rFonts w:ascii="PT Astra Serif" w:hAnsi="PT Astra Serif" w:cs="PT Astra Serif" w:eastAsia="PT Astra Serif"/>
          <w:sz w:val="28"/>
        </w:rPr>
      </w:r>
    </w:p>
    <w:sectPr>
      <w:footnotePr/>
      <w:endnotePr/>
      <w:type w:val="nextPage"/>
      <w:pgSz w:w="12240" w:h="15840" w:orient="portrait"/>
      <w:pgMar w:top="397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8"/>
    <w:next w:val="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8"/>
    <w:next w:val="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8"/>
    <w:next w:val="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8"/>
    <w:next w:val="8"/>
    <w:uiPriority w:val="99"/>
    <w:unhideWhenUsed/>
    <w:pPr>
      <w:spacing w:after="0" w:afterAutospacing="0"/>
    </w:pPr>
  </w:style>
  <w:style w:type="paragraph" w:styleId="598">
    <w:name w:val="Обычный"/>
    <w:next w:val="598"/>
    <w:link w:val="598"/>
    <w:rPr>
      <w:sz w:val="22"/>
      <w:szCs w:val="22"/>
      <w:lang w:val="ru-RU" w:bidi="ar-SA" w:eastAsia="ru-RU"/>
    </w:rPr>
    <w:pPr>
      <w:spacing w:lineRule="auto" w:line="259" w:after="160"/>
    </w:pPr>
  </w:style>
  <w:style w:type="character" w:styleId="599">
    <w:name w:val="Основной шрифт абзаца"/>
    <w:next w:val="599"/>
    <w:link w:val="598"/>
    <w:semiHidden/>
  </w:style>
  <w:style w:type="table" w:styleId="600">
    <w:name w:val="Обычная таблица"/>
    <w:next w:val="600"/>
    <w:link w:val="598"/>
    <w:semiHidden/>
    <w:tblPr/>
  </w:style>
  <w:style w:type="numbering" w:styleId="601">
    <w:name w:val="Нет списка"/>
    <w:next w:val="601"/>
    <w:link w:val="598"/>
    <w:semiHidden/>
  </w:style>
  <w:style w:type="character" w:styleId="602">
    <w:name w:val="Гиперссылка"/>
    <w:next w:val="602"/>
    <w:link w:val="598"/>
    <w:rPr>
      <w:color w:val="0563C1"/>
      <w:u w:val="single"/>
    </w:rPr>
  </w:style>
  <w:style w:type="character" w:styleId="603">
    <w:name w:val="Неразрешенное упоминание"/>
    <w:next w:val="603"/>
    <w:link w:val="598"/>
    <w:semiHidden/>
    <w:rPr>
      <w:color w:val="605E5C"/>
      <w:shd w:val="clear" w:fill="E1DFDD" w:color="auto"/>
    </w:rPr>
  </w:style>
  <w:style w:type="table" w:styleId="604">
    <w:name w:val="Сетка таблицы"/>
    <w:basedOn w:val="600"/>
    <w:next w:val="604"/>
    <w:link w:val="598"/>
    <w:tblPr/>
  </w:style>
  <w:style w:type="paragraph" w:styleId="605">
    <w:name w:val="ConsPlusNormal"/>
    <w:next w:val="605"/>
    <w:link w:val="598"/>
    <w:rPr>
      <w:rFonts w:ascii="Arial" w:hAnsi="Arial" w:eastAsia="Courier New"/>
      <w:sz w:val="16"/>
      <w:szCs w:val="24"/>
      <w:lang w:val="ru-RU" w:bidi="fa-IR" w:eastAsia="hi-IN"/>
    </w:rPr>
    <w:pPr>
      <w:widowControl w:val="off"/>
    </w:pPr>
  </w:style>
  <w:style w:type="character" w:styleId="606">
    <w:name w:val="Просмотренная гиперссылка"/>
    <w:next w:val="606"/>
    <w:link w:val="598"/>
    <w:semiHidden/>
    <w:rPr>
      <w:color w:val="954F72"/>
      <w:u w:val="single"/>
    </w:rPr>
  </w:style>
  <w:style w:type="paragraph" w:styleId="607">
    <w:name w:val="ConsPlusCell"/>
    <w:next w:val="607"/>
    <w:link w:val="598"/>
    <w:rPr>
      <w:rFonts w:ascii="Courier New" w:hAnsi="Courier New"/>
      <w:sz w:val="22"/>
      <w:szCs w:val="22"/>
      <w:lang w:val="ru-RU" w:bidi="ar-SA" w:eastAsia="ru-RU"/>
    </w:rPr>
    <w:pPr>
      <w:widowControl w:val="off"/>
    </w:pPr>
  </w:style>
  <w:style w:type="character" w:styleId="677" w:default="1">
    <w:name w:val="Default Paragraph Font"/>
    <w:uiPriority w:val="1"/>
    <w:semiHidden/>
    <w:unhideWhenUsed/>
  </w:style>
  <w:style w:type="numbering" w:styleId="678" w:default="1">
    <w:name w:val="No List"/>
    <w:uiPriority w:val="99"/>
    <w:semiHidden/>
    <w:unhideWhenUsed/>
  </w:style>
  <w:style w:type="paragraph" w:styleId="679" w:default="1">
    <w:name w:val="Normal"/>
    <w:qFormat/>
  </w:style>
  <w:style w:type="table" w:styleId="6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2025-10-10T08:22:14Z</dcterms:modified>
</cp:coreProperties>
</file>