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2"/>
        <w:spacing w:lineRule="auto" w:line="240"/>
        <w:jc w:val="center"/>
        <w:rPr>
          <w:rFonts w:ascii="PT Astra Serif" w:hAnsi="PT Astra Serif"/>
          <w:b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З А Я В К А</w:t>
      </w:r>
    </w:p>
    <w:p>
      <w:pPr>
        <w:pStyle w:val="Style22"/>
        <w:spacing w:lineRule="auto" w:line="240"/>
        <w:jc w:val="center"/>
        <w:rPr>
          <w:rFonts w:ascii="PT Astra Serif" w:hAnsi="PT Astra Serif"/>
          <w:b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на </w:t>
      </w:r>
      <w:r>
        <w:rPr>
          <w:rFonts w:ascii="PT Astra Serif" w:hAnsi="PT Astra Serif"/>
          <w:b/>
          <w:bCs/>
          <w:sz w:val="28"/>
          <w:szCs w:val="28"/>
        </w:rPr>
        <w:t>предоставление права пользования недрами (на получение лицензии на право пользования недрами)</w:t>
      </w:r>
    </w:p>
    <w:p>
      <w:pPr>
        <w:pStyle w:val="Style22"/>
        <w:spacing w:lineRule="auto" w:line="240"/>
        <w:jc w:val="center"/>
        <w:rPr>
          <w:rFonts w:ascii="PT Astra Serif" w:hAnsi="PT Astra Serif"/>
          <w:b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должна содержать следующие сведения:</w:t>
      </w:r>
    </w:p>
    <w:p>
      <w:pPr>
        <w:pStyle w:val="Style22"/>
        <w:spacing w:lineRule="auto" w:line="240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Normal"/>
        <w:spacing w:lineRule="auto" w:line="240"/>
        <w:ind w:left="0"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 w:val="false"/>
          <w:i w:val="false"/>
          <w:strike w:val="false"/>
          <w:dstrike w:val="false"/>
          <w:sz w:val="28"/>
          <w:szCs w:val="28"/>
          <w:u w:val="none"/>
        </w:rPr>
        <w:t>1) полное наименование (с указанием организационно-правовой формы), юридический и почтовый адреса, адрес электронной почты, номер контактного телефона - для юридического лица;</w:t>
      </w:r>
    </w:p>
    <w:p>
      <w:pPr>
        <w:pStyle w:val="Normal"/>
        <w:spacing w:lineRule="auto" w:line="240" w:before="0" w:after="0"/>
        <w:ind w:left="0"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 w:val="false"/>
          <w:i w:val="false"/>
          <w:strike w:val="false"/>
          <w:dstrike w:val="false"/>
          <w:sz w:val="28"/>
          <w:szCs w:val="28"/>
          <w:u w:val="none"/>
        </w:rPr>
        <w:t>2) фамилия, имя, отчество (при наличии), место жительства, почтовый адрес, адрес электронной почты, номер контактного телефона, данные документа, удостоверяющего личность, - для индивидуального предпринимателя;</w:t>
      </w:r>
    </w:p>
    <w:p>
      <w:pPr>
        <w:pStyle w:val="Normal"/>
        <w:spacing w:lineRule="auto" w:line="240" w:before="0" w:after="0"/>
        <w:ind w:left="0"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 w:val="false"/>
          <w:i w:val="false"/>
          <w:strike w:val="false"/>
          <w:dstrike w:val="false"/>
          <w:sz w:val="28"/>
          <w:szCs w:val="28"/>
          <w:u w:val="none"/>
        </w:rPr>
        <w:t>3) расположение участка недр местного значения;</w:t>
      </w:r>
    </w:p>
    <w:p>
      <w:pPr>
        <w:pStyle w:val="Normal"/>
        <w:spacing w:lineRule="auto" w:line="240" w:before="0" w:after="0"/>
        <w:ind w:left="0"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 w:val="false"/>
          <w:i w:val="false"/>
          <w:strike w:val="false"/>
          <w:dstrike w:val="false"/>
          <w:sz w:val="28"/>
          <w:szCs w:val="28"/>
          <w:u w:val="none"/>
        </w:rPr>
        <w:t>4) вид пользования недрами;</w:t>
      </w:r>
    </w:p>
    <w:p>
      <w:pPr>
        <w:pStyle w:val="Normal"/>
        <w:spacing w:lineRule="auto" w:line="240"/>
        <w:ind w:left="0"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 w:val="false"/>
          <w:i w:val="false"/>
          <w:strike w:val="false"/>
          <w:dstrike w:val="false"/>
          <w:sz w:val="28"/>
          <w:szCs w:val="28"/>
          <w:u w:val="none"/>
        </w:rPr>
        <w:t xml:space="preserve">5) </w:t>
      </w:r>
      <w:r>
        <w:rPr>
          <w:rFonts w:ascii="PT Astra Serif" w:hAnsi="PT Astra Serif"/>
          <w:b w:val="false"/>
          <w:i w:val="false"/>
          <w:strike w:val="false"/>
          <w:dstrike w:val="false"/>
          <w:sz w:val="28"/>
          <w:szCs w:val="28"/>
          <w:u w:val="none"/>
        </w:rPr>
        <w:t>реквизиты (номер, дата выдачи) санитарно-эпидемиологического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 (для целей питьевого водоснабжения);</w:t>
      </w:r>
    </w:p>
    <w:p>
      <w:pPr>
        <w:pStyle w:val="Normal"/>
        <w:spacing w:lineRule="auto" w:line="240" w:before="0" w:after="0"/>
        <w:ind w:left="0"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 w:val="false"/>
          <w:i w:val="false"/>
          <w:strike w:val="false"/>
          <w:dstrike w:val="false"/>
          <w:sz w:val="28"/>
          <w:szCs w:val="28"/>
          <w:u w:val="none"/>
        </w:rPr>
        <w:t>6)</w:t>
      </w:r>
      <w:r>
        <w:rPr>
          <w:rFonts w:ascii="PT Astra Serif" w:hAnsi="PT Astra Serif"/>
          <w:b w:val="false"/>
          <w:i w:val="false"/>
          <w:strike w:val="false"/>
          <w:dstrike w:val="false"/>
          <w:sz w:val="28"/>
          <w:szCs w:val="28"/>
          <w:u w:val="none"/>
        </w:rPr>
        <w:t xml:space="preserve"> количество водозаборных сооружений, расположенных в границах участка недр местного значения;</w:t>
      </w:r>
    </w:p>
    <w:p>
      <w:pPr>
        <w:pStyle w:val="Normal"/>
        <w:spacing w:lineRule="auto" w:line="240" w:before="0" w:after="0"/>
        <w:ind w:left="0"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 w:val="false"/>
          <w:i w:val="false"/>
          <w:strike w:val="false"/>
          <w:dstrike w:val="false"/>
          <w:sz w:val="28"/>
          <w:szCs w:val="28"/>
          <w:u w:val="none"/>
        </w:rPr>
        <w:t>7</w:t>
      </w:r>
      <w:r>
        <w:rPr>
          <w:rFonts w:ascii="PT Astra Serif" w:hAnsi="PT Astra Serif"/>
          <w:b w:val="false"/>
          <w:i w:val="false"/>
          <w:strike w:val="false"/>
          <w:dstrike w:val="false"/>
          <w:sz w:val="28"/>
          <w:szCs w:val="28"/>
          <w:u w:val="none"/>
        </w:rPr>
        <w:t>) величина заявляемого водопотребления (кубических метров в сутки, тысяч кубических метров в год);</w:t>
      </w:r>
    </w:p>
    <w:p>
      <w:pPr>
        <w:pStyle w:val="Normal"/>
        <w:spacing w:lineRule="auto" w:line="240" w:before="0" w:after="0"/>
        <w:ind w:left="0"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 w:val="false"/>
          <w:i w:val="false"/>
          <w:strike w:val="false"/>
          <w:dstrike w:val="false"/>
          <w:sz w:val="28"/>
          <w:szCs w:val="28"/>
          <w:u w:val="none"/>
        </w:rPr>
        <w:t>8) реквизиты платежного поручения.</w:t>
      </w:r>
    </w:p>
    <w:p>
      <w:pPr>
        <w:pStyle w:val="Normal"/>
        <w:spacing w:lineRule="auto" w:line="240" w:before="0" w:after="0"/>
        <w:ind w:left="0" w:firstLine="540"/>
        <w:jc w:val="both"/>
        <w:rPr>
          <w:b w:val="false"/>
          <w:b w:val="false"/>
          <w:i w:val="false"/>
          <w:i w:val="false"/>
          <w:strike w:val="false"/>
          <w:dstrike w:val="false"/>
          <w:u w:val="none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Style22"/>
        <w:spacing w:lineRule="auto" w:line="240"/>
        <w:jc w:val="center"/>
        <w:rPr>
          <w:rFonts w:ascii="PT Astra Serif" w:hAnsi="PT Astra Serif"/>
          <w:b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З А Я В К А</w:t>
      </w:r>
    </w:p>
    <w:p>
      <w:pPr>
        <w:pStyle w:val="Style22"/>
        <w:spacing w:lineRule="auto" w:line="240"/>
        <w:jc w:val="center"/>
        <w:rPr>
          <w:rFonts w:ascii="PT Astra Serif" w:hAnsi="PT Astra Serif"/>
          <w:b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на </w:t>
      </w:r>
      <w:r>
        <w:rPr>
          <w:rFonts w:ascii="PT Astra Serif" w:hAnsi="PT Astra Serif"/>
          <w:b/>
          <w:bCs/>
          <w:sz w:val="28"/>
          <w:szCs w:val="28"/>
        </w:rPr>
        <w:t>внесение изменений в лицензию на право пользования недрами</w:t>
      </w:r>
    </w:p>
    <w:p>
      <w:pPr>
        <w:pStyle w:val="Style22"/>
        <w:spacing w:lineRule="auto" w:line="240"/>
        <w:jc w:val="center"/>
        <w:rPr>
          <w:rFonts w:ascii="PT Astra Serif" w:hAnsi="PT Astra Serif"/>
          <w:b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должна содержать следующие сведения:</w:t>
      </w:r>
    </w:p>
    <w:p>
      <w:pPr>
        <w:pStyle w:val="Style22"/>
        <w:spacing w:lineRule="auto" w:line="2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Style22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1) сведения о пользователе недр, в том числе для юридического лица - полное наименование, его организационно-правовая форма, адрес электронной почты (при наличии), почтовый адрес, основной государственный регистрационный номер, идентификационный номер налогоплательщика, для индивидуального предпринимателя - фамилия, имя, отчество (при наличии), адрес электронной почты (при наличии), почтовый адрес, основной государственный регистрационный номер индивидуального предпринимателя, идентификационный номер налогоплательщика;</w:t>
      </w:r>
    </w:p>
    <w:p>
      <w:pPr>
        <w:pStyle w:val="Style22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2) государственный регистрационный номер лицензии на пользование участком недр местного значения, дату государственной регистрации лицензии, наименование участка недр местного значения (при наличии), целевое назначение работ на участке недр;</w:t>
      </w:r>
    </w:p>
    <w:p>
      <w:pPr>
        <w:pStyle w:val="Style22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3) основание внесения изменений в лицензию на пользование участком недр местного значения;</w:t>
      </w:r>
    </w:p>
    <w:p>
      <w:pPr>
        <w:pStyle w:val="Style22"/>
        <w:spacing w:lineRule="auto" w:line="2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4) краткое описание предложений по внесению изменений в лицензию на пользование участком недр местного значения (с указанием раздела лицензии на пользование участком недр местного значения, в который предлагается внесение изменений);</w:t>
      </w:r>
    </w:p>
    <w:p>
      <w:pPr>
        <w:pStyle w:val="Style22"/>
        <w:spacing w:lineRule="auto" w:line="2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5) реквизиты решения об изменении границ участка недр местного значения, предоставленного в пользование (в случае </w:t>
      </w:r>
      <w:r>
        <w:rPr>
          <w:rFonts w:ascii="PT Astra Serif" w:hAnsi="PT Astra Serif"/>
          <w:sz w:val="28"/>
          <w:szCs w:val="28"/>
        </w:rPr>
        <w:t>если это предусмотрено)</w:t>
      </w:r>
      <w:r>
        <w:rPr>
          <w:rFonts w:ascii="PT Astra Serif" w:hAnsi="PT Astra Serif"/>
          <w:sz w:val="28"/>
          <w:szCs w:val="28"/>
        </w:rPr>
        <w:t>;</w:t>
      </w:r>
    </w:p>
    <w:p>
      <w:pPr>
        <w:pStyle w:val="Style22"/>
        <w:spacing w:lineRule="auto" w:line="2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6) реквизиты платежного поручения</w:t>
      </w:r>
    </w:p>
    <w:p>
      <w:pPr>
        <w:pStyle w:val="Style22"/>
        <w:spacing w:lineRule="auto" w:line="2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Style22"/>
        <w:spacing w:lineRule="auto" w:line="240"/>
        <w:jc w:val="center"/>
        <w:rPr>
          <w:rFonts w:ascii="PT Astra Serif" w:hAnsi="PT Astra Serif"/>
          <w:b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З А Я В К А</w:t>
      </w:r>
    </w:p>
    <w:p>
      <w:pPr>
        <w:pStyle w:val="Style22"/>
        <w:spacing w:lineRule="auto" w:line="240"/>
        <w:jc w:val="center"/>
        <w:rPr>
          <w:rFonts w:ascii="PT Astra Serif" w:hAnsi="PT Astra Serif"/>
          <w:b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на </w:t>
      </w:r>
      <w:r>
        <w:rPr>
          <w:rFonts w:ascii="PT Astra Serif" w:hAnsi="PT Astra Serif"/>
          <w:b/>
          <w:bCs/>
          <w:sz w:val="28"/>
          <w:szCs w:val="28"/>
        </w:rPr>
        <w:t>переоформление лицензии на право пользования недрами</w:t>
      </w:r>
    </w:p>
    <w:p>
      <w:pPr>
        <w:pStyle w:val="Style22"/>
        <w:spacing w:lineRule="auto" w:line="240"/>
        <w:jc w:val="center"/>
        <w:rPr>
          <w:rFonts w:ascii="PT Astra Serif" w:hAnsi="PT Astra Serif"/>
          <w:b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должна содержать следующие сведения:</w:t>
      </w:r>
    </w:p>
    <w:p>
      <w:pPr>
        <w:pStyle w:val="Style22"/>
        <w:spacing w:lineRule="auto" w:line="2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Normal"/>
        <w:spacing w:lineRule="auto" w:line="240"/>
        <w:ind w:left="0"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 w:val="false"/>
          <w:i w:val="false"/>
          <w:strike w:val="false"/>
          <w:dstrike w:val="false"/>
          <w:sz w:val="28"/>
          <w:szCs w:val="28"/>
          <w:u w:val="none"/>
        </w:rPr>
        <w:t>1) сведения о заявителе и о пользователе недр по переоформляемой лицензии на пользование участком недр местного значения, в том числе для юридического лица - полное наименование, его организационно-правовая форма, адрес электронной почты (при наличии), почтовый адрес, основной государственный регистрационный номер, идентификационный номер налогоплательщика, для индивидуального предпринимателя - фамилия, имя, отчество (при наличии), адрес электронной почты (при наличии), почтовый адрес, основной государственный регистрационный номер индивидуального предпринимателя, идентификационный номер налогоплательщика;</w:t>
      </w:r>
    </w:p>
    <w:p>
      <w:pPr>
        <w:pStyle w:val="Normal"/>
        <w:spacing w:lineRule="auto" w:line="240" w:before="200" w:after="0"/>
        <w:ind w:left="0"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 w:val="false"/>
          <w:i w:val="false"/>
          <w:strike w:val="false"/>
          <w:dstrike w:val="false"/>
          <w:sz w:val="28"/>
          <w:szCs w:val="28"/>
          <w:u w:val="none"/>
        </w:rPr>
        <w:t>2) государственный регистрационный номер переоформляемой лицензии на пользование недрами, дату ее государственной регистрации;</w:t>
      </w:r>
    </w:p>
    <w:p>
      <w:pPr>
        <w:pStyle w:val="Normal"/>
        <w:spacing w:lineRule="auto" w:line="240" w:before="200" w:after="0"/>
        <w:ind w:left="0"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 w:val="false"/>
          <w:i w:val="false"/>
          <w:strike w:val="false"/>
          <w:dstrike w:val="false"/>
          <w:sz w:val="28"/>
          <w:szCs w:val="28"/>
          <w:u w:val="none"/>
        </w:rPr>
        <w:t>3) основание переоформления лицензии на пользование недрами;</w:t>
      </w:r>
    </w:p>
    <w:p>
      <w:pPr>
        <w:pStyle w:val="Normal"/>
        <w:spacing w:lineRule="auto" w:line="240" w:before="200" w:after="0"/>
        <w:ind w:left="0"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 w:val="false"/>
          <w:i w:val="false"/>
          <w:strike w:val="false"/>
          <w:dstrike w:val="false"/>
          <w:sz w:val="28"/>
          <w:szCs w:val="28"/>
          <w:u w:val="none"/>
        </w:rPr>
        <w:t>4) реквизиты платежного поручения;</w:t>
      </w:r>
    </w:p>
    <w:p>
      <w:pPr>
        <w:pStyle w:val="Normal"/>
        <w:spacing w:lineRule="auto" w:line="240" w:before="200" w:after="0"/>
        <w:ind w:left="0"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 w:val="false"/>
          <w:i w:val="false"/>
          <w:strike w:val="false"/>
          <w:dstrike w:val="false"/>
          <w:sz w:val="28"/>
          <w:szCs w:val="28"/>
          <w:u w:val="none"/>
        </w:rPr>
        <w:t>5) согласие заявителя принять на себя в полном объеме выполнение условий пользования недрами, предусмотренных переоформляемой лицензией на пользование недрами, в том числе неисполненных пользователем недр.</w:t>
      </w:r>
    </w:p>
    <w:p>
      <w:pPr>
        <w:pStyle w:val="Normal"/>
        <w:spacing w:lineRule="auto" w:line="2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Style22"/>
        <w:spacing w:lineRule="auto" w:line="240"/>
        <w:jc w:val="center"/>
        <w:rPr>
          <w:rFonts w:ascii="PT Astra Serif" w:hAnsi="PT Astra Serif"/>
          <w:b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З А Я В </w:t>
      </w:r>
      <w:r>
        <w:rPr>
          <w:rFonts w:ascii="PT Astra Serif" w:hAnsi="PT Astra Serif"/>
          <w:b/>
          <w:bCs/>
          <w:sz w:val="28"/>
          <w:szCs w:val="28"/>
        </w:rPr>
        <w:t>Л Е Н И Е</w:t>
      </w:r>
    </w:p>
    <w:p>
      <w:pPr>
        <w:pStyle w:val="Style22"/>
        <w:spacing w:lineRule="auto" w:line="240"/>
        <w:jc w:val="center"/>
        <w:rPr>
          <w:rFonts w:ascii="PT Astra Serif" w:hAnsi="PT Astra Serif"/>
          <w:b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пользователя недр о досрочном прекращении права пользования недрами или о приостановлении осуществления права пользования недрами</w:t>
      </w:r>
    </w:p>
    <w:p>
      <w:pPr>
        <w:pStyle w:val="Style22"/>
        <w:spacing w:lineRule="auto" w:line="240"/>
        <w:jc w:val="center"/>
        <w:rPr>
          <w:rFonts w:ascii="PT Astra Serif" w:hAnsi="PT Astra Serif"/>
          <w:b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должно содержать следующие сведения:</w:t>
      </w:r>
    </w:p>
    <w:p>
      <w:pPr>
        <w:pStyle w:val="Style22"/>
        <w:spacing w:lineRule="auto" w:line="240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Style22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1) сведения о пользователе недр, в том числе для юридического лица - полное наименование, его организационно-правовая форма, адрес электронной почты (при наличии), почтовый адрес, основной государственный регистрационный номер, идентификационный номер налогоплательщика, для индивидуального предпринимателя - фамилия, имя, отчество (при наличии), адрес электронной почты (при наличии), почтовый адрес, основной государственный регистрационный номер индивидуального предпринимателя, идентификационный номер налогоплательщика;</w:t>
      </w:r>
    </w:p>
    <w:p>
      <w:pPr>
        <w:pStyle w:val="Style22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2) государственный регистрационный номер лицензии на пользование недрами и дату ее государственной регистрации;</w:t>
      </w:r>
    </w:p>
    <w:p>
      <w:pPr>
        <w:pStyle w:val="Style22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3) дату досрочного прекращения права пользования недрами (в случае подачи заявления о досрочном прекращении права пользования недрами) или период приостановления осуществления права пользования недрами (в случае подачи заявления о приостановлении осуществления права пользования недрами);</w:t>
      </w:r>
    </w:p>
    <w:p>
      <w:pPr>
        <w:pStyle w:val="Style22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4) причины досрочного прекращения права пользования недрами или приостановления осуществления права пользования недрами;</w:t>
      </w:r>
    </w:p>
    <w:p>
      <w:pPr>
        <w:pStyle w:val="Style22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5) информацию о выполнении пользователем недр условий пользования недрами по лицензии на пользование недрами;</w:t>
      </w:r>
    </w:p>
    <w:p>
      <w:pPr>
        <w:pStyle w:val="Style22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6) реквизиты решения о согласовании в порядке, предусмотренном статьей 23.2 Закона о недрах, технического проекта консервации и ликвидации горных выработок, буровых скважин и иных сооружений, связанных с пользованием недрами, либо реквизиты подписанного в соответствии со статьей 26 Закона о недрах акта о ликвидации или консервации горных выработок, буровых скважин и иных сооружений, связанных с пользованием недрами (при наличии акта при подаче заявления о досрочном прекращении права пользования недрами);</w:t>
      </w:r>
    </w:p>
    <w:p>
      <w:pPr>
        <w:pStyle w:val="Style22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7) реквизиты заключения государственной экспертизы запасов полезных ископаемых и подземных вод, геологической информации о предоставляемых в пользование участках недр местного значения, предусмотренного статьей 29 Закона о недрах, либо реквизиты подписанного в соответствии со статьей 26 Закона о недрах акта о ликвидации или консервации горных выработок, буровых скважин и иных сооружений, связанных с пользованием недрами;</w:t>
      </w:r>
    </w:p>
    <w:p>
      <w:pPr>
        <w:pStyle w:val="Style22"/>
        <w:widowControl/>
        <w:suppressAutoHyphens w:val="true"/>
        <w:bidi w:val="0"/>
        <w:spacing w:lineRule="auto" w:line="240" w:before="0" w:after="0"/>
        <w:ind w:left="0" w:right="0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8) обязательство пользователя недр предоставить в Министерство для подписания акт о ликвидации или консервации горных выработок, буровых скважин и иных сооружений, связанных с пользованием недрами, в течение шести месяцев, предшествующих дате досрочного прекращения права пользования недрами.</w:t>
      </w:r>
    </w:p>
    <w:sectPr>
      <w:type w:val="nextPage"/>
      <w:pgSz w:w="11906" w:h="16838"/>
      <w:pgMar w:left="1440" w:right="567" w:header="0" w:top="851" w:footer="0" w:bottom="538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Tahoma">
    <w:charset w:val="cc"/>
    <w:family w:val="roman"/>
    <w:pitch w:val="variable"/>
  </w:font>
  <w:font w:name="PT Astra Serif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 Unicode MS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 Unicode MS"/>
      <w:color w:val="auto"/>
      <w:kern w:val="0"/>
      <w:sz w:val="20"/>
      <w:szCs w:val="20"/>
      <w:lang w:val="ru-RU" w:eastAsia="zh-CN" w:bidi="ar-SA"/>
    </w:rPr>
  </w:style>
  <w:style w:type="paragraph" w:styleId="1">
    <w:name w:val="Heading 1"/>
    <w:basedOn w:val="Style22"/>
    <w:link w:val="824"/>
    <w:qFormat/>
    <w:pPr>
      <w:keepNext w:val="true"/>
      <w:jc w:val="center"/>
      <w:outlineLvl w:val="0"/>
    </w:pPr>
    <w:rPr>
      <w:u w:val="single"/>
    </w:rPr>
  </w:style>
  <w:style w:type="paragraph" w:styleId="2">
    <w:name w:val="Heading 2"/>
    <w:link w:val="649"/>
    <w:uiPriority w:val="9"/>
    <w:unhideWhenUsed/>
    <w:qFormat/>
    <w:pPr>
      <w:keepNext w:val="true"/>
      <w:keepLines/>
      <w:widowControl/>
      <w:suppressAutoHyphens w:val="true"/>
      <w:bidi w:val="0"/>
      <w:spacing w:before="360" w:after="200"/>
      <w:jc w:val="left"/>
      <w:outlineLvl w:val="1"/>
    </w:pPr>
    <w:rPr>
      <w:rFonts w:ascii="Arial" w:hAnsi="Arial" w:eastAsia="Arial" w:cs="Arial"/>
      <w:color w:val="auto"/>
      <w:kern w:val="0"/>
      <w:sz w:val="34"/>
      <w:szCs w:val="20"/>
      <w:lang w:val="ru-RU" w:eastAsia="zh-CN" w:bidi="ar-SA"/>
    </w:rPr>
  </w:style>
  <w:style w:type="paragraph" w:styleId="3">
    <w:name w:val="Heading 3"/>
    <w:link w:val="651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2"/>
    </w:pPr>
    <w:rPr>
      <w:rFonts w:ascii="Arial" w:hAnsi="Arial" w:eastAsia="Arial" w:cs="Arial"/>
      <w:color w:val="auto"/>
      <w:kern w:val="0"/>
      <w:sz w:val="30"/>
      <w:szCs w:val="30"/>
      <w:lang w:val="ru-RU" w:eastAsia="zh-CN" w:bidi="ar-SA"/>
    </w:rPr>
  </w:style>
  <w:style w:type="paragraph" w:styleId="4">
    <w:name w:val="Heading 4"/>
    <w:link w:val="653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3"/>
    </w:pPr>
    <w:rPr>
      <w:rFonts w:ascii="Arial" w:hAnsi="Arial" w:eastAsia="Arial" w:cs="Arial"/>
      <w:b/>
      <w:bCs/>
      <w:color w:val="auto"/>
      <w:kern w:val="0"/>
      <w:sz w:val="26"/>
      <w:szCs w:val="26"/>
      <w:lang w:val="ru-RU" w:eastAsia="zh-CN" w:bidi="ar-SA"/>
    </w:rPr>
  </w:style>
  <w:style w:type="paragraph" w:styleId="5">
    <w:name w:val="Heading 5"/>
    <w:link w:val="655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4"/>
    </w:pPr>
    <w:rPr>
      <w:rFonts w:ascii="Arial" w:hAnsi="Arial" w:eastAsia="Arial" w:cs="Arial"/>
      <w:b/>
      <w:bCs/>
      <w:color w:val="auto"/>
      <w:kern w:val="0"/>
      <w:sz w:val="24"/>
      <w:szCs w:val="24"/>
      <w:lang w:val="ru-RU" w:eastAsia="zh-CN" w:bidi="ar-SA"/>
    </w:rPr>
  </w:style>
  <w:style w:type="paragraph" w:styleId="6">
    <w:name w:val="Heading 6"/>
    <w:link w:val="657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5"/>
    </w:pPr>
    <w:rPr>
      <w:rFonts w:ascii="Arial" w:hAnsi="Arial" w:eastAsia="Arial" w:cs="Arial"/>
      <w:b/>
      <w:bCs/>
      <w:color w:val="auto"/>
      <w:kern w:val="0"/>
      <w:sz w:val="22"/>
      <w:szCs w:val="22"/>
      <w:lang w:val="ru-RU" w:eastAsia="zh-CN" w:bidi="ar-SA"/>
    </w:rPr>
  </w:style>
  <w:style w:type="paragraph" w:styleId="7">
    <w:name w:val="Heading 7"/>
    <w:link w:val="659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6"/>
    </w:pPr>
    <w:rPr>
      <w:rFonts w:ascii="Arial" w:hAnsi="Arial" w:eastAsia="Arial" w:cs="Arial"/>
      <w:b/>
      <w:bCs/>
      <w:i/>
      <w:iCs/>
      <w:color w:val="auto"/>
      <w:kern w:val="0"/>
      <w:sz w:val="22"/>
      <w:szCs w:val="22"/>
      <w:lang w:val="ru-RU" w:eastAsia="zh-CN" w:bidi="ar-SA"/>
    </w:rPr>
  </w:style>
  <w:style w:type="paragraph" w:styleId="8">
    <w:name w:val="Heading 8"/>
    <w:link w:val="661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7"/>
    </w:pPr>
    <w:rPr>
      <w:rFonts w:ascii="Arial" w:hAnsi="Arial" w:eastAsia="Arial" w:cs="Arial"/>
      <w:i/>
      <w:iCs/>
      <w:color w:val="auto"/>
      <w:kern w:val="0"/>
      <w:sz w:val="22"/>
      <w:szCs w:val="22"/>
      <w:lang w:val="ru-RU" w:eastAsia="zh-CN" w:bidi="ar-SA"/>
    </w:rPr>
  </w:style>
  <w:style w:type="paragraph" w:styleId="9">
    <w:name w:val="Heading 9"/>
    <w:link w:val="663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8"/>
    </w:pPr>
    <w:rPr>
      <w:rFonts w:ascii="Arial" w:hAnsi="Arial" w:eastAsia="Arial" w:cs="Arial"/>
      <w:i/>
      <w:iCs/>
      <w:color w:val="auto"/>
      <w:kern w:val="0"/>
      <w:sz w:val="21"/>
      <w:szCs w:val="21"/>
      <w:lang w:val="ru-RU" w:eastAsia="zh-CN" w:bidi="ar-SA"/>
    </w:rPr>
  </w:style>
  <w:style w:type="character" w:styleId="Heading1Char">
    <w:name w:val="Heading 1 Char"/>
    <w:link w:val="646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link w:val="648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link w:val="650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link w:val="652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link w:val="654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link w:val="65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link w:val="658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link w:val="660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link w:val="662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link w:val="666"/>
    <w:uiPriority w:val="10"/>
    <w:qFormat/>
    <w:rPr>
      <w:sz w:val="48"/>
      <w:szCs w:val="48"/>
    </w:rPr>
  </w:style>
  <w:style w:type="character" w:styleId="SubtitleChar">
    <w:name w:val="Subtitle Char"/>
    <w:link w:val="668"/>
    <w:uiPriority w:val="11"/>
    <w:qFormat/>
    <w:rPr>
      <w:sz w:val="24"/>
      <w:szCs w:val="24"/>
    </w:rPr>
  </w:style>
  <w:style w:type="character" w:styleId="QuoteChar">
    <w:name w:val="Quote Char"/>
    <w:link w:val="670"/>
    <w:uiPriority w:val="29"/>
    <w:qFormat/>
    <w:rPr>
      <w:i/>
    </w:rPr>
  </w:style>
  <w:style w:type="character" w:styleId="IntenseQuoteChar">
    <w:name w:val="Intense Quote Char"/>
    <w:link w:val="672"/>
    <w:uiPriority w:val="30"/>
    <w:qFormat/>
    <w:rPr>
      <w:i/>
    </w:rPr>
  </w:style>
  <w:style w:type="character" w:styleId="HeaderChar">
    <w:name w:val="Header Char"/>
    <w:link w:val="674"/>
    <w:uiPriority w:val="99"/>
    <w:qFormat/>
    <w:rPr/>
  </w:style>
  <w:style w:type="character" w:styleId="FooterChar">
    <w:name w:val="Footer Char"/>
    <w:link w:val="676"/>
    <w:uiPriority w:val="99"/>
    <w:qFormat/>
    <w:rPr/>
  </w:style>
  <w:style w:type="character" w:styleId="CaptionChar">
    <w:name w:val="Caption Char"/>
    <w:link w:val="676"/>
    <w:uiPriority w:val="99"/>
    <w:qFormat/>
    <w:rPr/>
  </w:style>
  <w:style w:type="character" w:styleId="Style5">
    <w:name w:val="Интернет-ссылка"/>
    <w:uiPriority w:val="99"/>
    <w:unhideWhenUsed/>
    <w:rPr>
      <w:color w:val="0000FF" w:themeColor="hyperlink"/>
      <w:u w:val="single"/>
    </w:rPr>
  </w:style>
  <w:style w:type="character" w:styleId="FootnoteTextChar">
    <w:name w:val="Footnote Text Char"/>
    <w:link w:val="807"/>
    <w:uiPriority w:val="99"/>
    <w:qFormat/>
    <w:rPr>
      <w:sz w:val="18"/>
    </w:rPr>
  </w:style>
  <w:style w:type="character" w:styleId="Style6">
    <w:name w:val="Привязка сноски"/>
    <w:rPr>
      <w:vertAlign w:val="superscript"/>
    </w:rPr>
  </w:style>
  <w:style w:type="character" w:styleId="FootnoteCharacters">
    <w:name w:val="Footnote Characters"/>
    <w:uiPriority w:val="99"/>
    <w:unhideWhenUsed/>
    <w:qFormat/>
    <w:rPr>
      <w:vertAlign w:val="superscript"/>
    </w:rPr>
  </w:style>
  <w:style w:type="character" w:styleId="EndnoteTextChar">
    <w:name w:val="Endnote Text Char"/>
    <w:link w:val="810"/>
    <w:uiPriority w:val="99"/>
    <w:qFormat/>
    <w:rPr>
      <w:sz w:val="20"/>
    </w:rPr>
  </w:style>
  <w:style w:type="character" w:styleId="Style7">
    <w:name w:val="Привязка концевой сноски"/>
    <w:rPr>
      <w:vertAlign w:val="superscript"/>
    </w:rPr>
  </w:style>
  <w:style w:type="character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Style8">
    <w:name w:val="Основной шрифт абзаца"/>
    <w:link w:val="824"/>
    <w:semiHidden/>
    <w:qFormat/>
    <w:rPr/>
  </w:style>
  <w:style w:type="character" w:styleId="Style9">
    <w:name w:val="Гиперссылка"/>
    <w:basedOn w:val="Style8"/>
    <w:link w:val="824"/>
    <w:qFormat/>
    <w:rPr>
      <w:color w:val="0000FF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0">
    <w:name w:val="Заголовок"/>
    <w:basedOn w:val="Normal"/>
    <w:next w:val="Style11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1">
    <w:name w:val="Body Text"/>
    <w:basedOn w:val="Normal"/>
    <w:pPr>
      <w:spacing w:lineRule="auto" w:line="276" w:before="0" w:after="140"/>
    </w:pPr>
    <w:rPr/>
  </w:style>
  <w:style w:type="paragraph" w:styleId="Style12">
    <w:name w:val="List"/>
    <w:basedOn w:val="Style11"/>
    <w:pPr/>
    <w:rPr>
      <w:rFonts w:cs="Arial Unicode MS"/>
    </w:rPr>
  </w:style>
  <w:style w:type="paragraph" w:styleId="Style13">
    <w:name w:val="Caption"/>
    <w:uiPriority w:val="35"/>
    <w:semiHidden/>
    <w:unhideWhenUsed/>
    <w:qFormat/>
    <w:pPr>
      <w:widowControl/>
      <w:suppressAutoHyphens w:val="true"/>
      <w:bidi w:val="0"/>
      <w:spacing w:lineRule="auto" w:line="276" w:before="0" w:after="0"/>
      <w:jc w:val="left"/>
    </w:pPr>
    <w:rPr>
      <w:rFonts w:ascii="Times New Roman" w:hAnsi="Times New Roman" w:eastAsia="NSimSun" w:cs="Arial Unicode MS"/>
      <w:b/>
      <w:bCs/>
      <w:color w:val="4F81BD" w:themeColor="accent1"/>
      <w:kern w:val="0"/>
      <w:sz w:val="18"/>
      <w:szCs w:val="18"/>
      <w:lang w:val="ru-RU" w:eastAsia="zh-CN" w:bidi="ar-SA"/>
    </w:rPr>
  </w:style>
  <w:style w:type="paragraph" w:styleId="Style14">
    <w:name w:val="Указатель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uiPriority w:val="34"/>
    <w:qFormat/>
    <w:pPr>
      <w:widowControl/>
      <w:suppressAutoHyphens w:val="true"/>
      <w:bidi w:val="0"/>
      <w:spacing w:before="0" w:after="0"/>
      <w:ind w:left="720" w:hanging="0"/>
      <w:contextualSpacing/>
      <w:jc w:val="left"/>
    </w:pPr>
    <w:rPr>
      <w:rFonts w:ascii="Times New Roman" w:hAnsi="Times New Roman" w:eastAsia="NSimSun" w:cs="Arial Unicode MS"/>
      <w:color w:val="auto"/>
      <w:kern w:val="0"/>
      <w:sz w:val="20"/>
      <w:szCs w:val="20"/>
      <w:lang w:val="ru-RU" w:eastAsia="zh-CN" w:bidi="ar-SA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NSimSun" w:cs="Arial Unicode MS"/>
      <w:color w:val="auto"/>
      <w:kern w:val="0"/>
      <w:sz w:val="20"/>
      <w:szCs w:val="20"/>
      <w:lang w:val="ru-RU" w:eastAsia="zh-CN" w:bidi="ar-SA"/>
    </w:rPr>
  </w:style>
  <w:style w:type="paragraph" w:styleId="Style15">
    <w:name w:val="Title"/>
    <w:link w:val="667"/>
    <w:uiPriority w:val="10"/>
    <w:qFormat/>
    <w:pPr>
      <w:widowControl/>
      <w:suppressAutoHyphens w:val="true"/>
      <w:bidi w:val="0"/>
      <w:spacing w:before="300" w:after="200"/>
      <w:contextualSpacing/>
      <w:jc w:val="left"/>
    </w:pPr>
    <w:rPr>
      <w:rFonts w:ascii="Times New Roman" w:hAnsi="Times New Roman" w:eastAsia="NSimSun" w:cs="Arial Unicode MS"/>
      <w:color w:val="auto"/>
      <w:kern w:val="0"/>
      <w:sz w:val="48"/>
      <w:szCs w:val="48"/>
      <w:lang w:val="ru-RU" w:eastAsia="zh-CN" w:bidi="ar-SA"/>
    </w:rPr>
  </w:style>
  <w:style w:type="paragraph" w:styleId="Style16">
    <w:name w:val="Subtitle"/>
    <w:link w:val="669"/>
    <w:uiPriority w:val="11"/>
    <w:qFormat/>
    <w:pPr>
      <w:widowControl/>
      <w:suppressAutoHyphens w:val="true"/>
      <w:bidi w:val="0"/>
      <w:spacing w:before="200" w:after="200"/>
      <w:jc w:val="left"/>
    </w:pPr>
    <w:rPr>
      <w:rFonts w:ascii="Times New Roman" w:hAnsi="Times New Roman" w:eastAsia="NSimSun" w:cs="Arial Unicode MS"/>
      <w:color w:val="auto"/>
      <w:kern w:val="0"/>
      <w:sz w:val="24"/>
      <w:szCs w:val="24"/>
      <w:lang w:val="ru-RU" w:eastAsia="zh-CN" w:bidi="ar-SA"/>
    </w:rPr>
  </w:style>
  <w:style w:type="paragraph" w:styleId="Quote">
    <w:name w:val="Quote"/>
    <w:link w:val="671"/>
    <w:uiPriority w:val="29"/>
    <w:qFormat/>
    <w:pPr>
      <w:widowControl/>
      <w:suppressAutoHyphens w:val="true"/>
      <w:bidi w:val="0"/>
      <w:spacing w:before="0" w:after="0"/>
      <w:ind w:left="720" w:right="720" w:hanging="0"/>
      <w:jc w:val="left"/>
    </w:pPr>
    <w:rPr>
      <w:rFonts w:ascii="Times New Roman" w:hAnsi="Times New Roman" w:eastAsia="NSimSun" w:cs="Arial Unicode MS"/>
      <w:i/>
      <w:color w:val="auto"/>
      <w:kern w:val="0"/>
      <w:sz w:val="20"/>
      <w:szCs w:val="20"/>
      <w:lang w:val="ru-RU" w:eastAsia="zh-CN" w:bidi="ar-SA"/>
    </w:rPr>
  </w:style>
  <w:style w:type="paragraph" w:styleId="IntenseQuote">
    <w:name w:val="Intense Quote"/>
    <w:link w:val="673"/>
    <w:uiPriority w:val="30"/>
    <w:qFormat/>
    <w:pPr>
      <w:widowControl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uppressAutoHyphens w:val="true"/>
      <w:bidi w:val="0"/>
      <w:spacing w:before="0" w:after="0"/>
      <w:ind w:left="720" w:right="720" w:hanging="0"/>
      <w:jc w:val="left"/>
    </w:pPr>
    <w:rPr>
      <w:rFonts w:ascii="Times New Roman" w:hAnsi="Times New Roman" w:eastAsia="NSimSun" w:cs="Arial Unicode MS"/>
      <w:i/>
      <w:color w:val="auto"/>
      <w:kern w:val="0"/>
      <w:sz w:val="20"/>
      <w:szCs w:val="20"/>
      <w:lang w:val="ru-RU" w:eastAsia="zh-CN" w:bidi="ar-SA"/>
    </w:rPr>
  </w:style>
  <w:style w:type="paragraph" w:styleId="Style17">
    <w:name w:val="Колонтитул"/>
    <w:basedOn w:val="Normal"/>
    <w:qFormat/>
    <w:pPr/>
    <w:rPr/>
  </w:style>
  <w:style w:type="paragraph" w:styleId="Style18">
    <w:name w:val="Header"/>
    <w:link w:val="675"/>
    <w:uiPriority w:val="99"/>
    <w:unhideWhenUsed/>
    <w:pPr>
      <w:widowControl/>
      <w:tabs>
        <w:tab w:val="clear" w:pos="708"/>
        <w:tab w:val="center" w:pos="7143" w:leader="none"/>
        <w:tab w:val="right" w:pos="14287" w:leader="none"/>
      </w:tabs>
      <w:suppressAutoHyphens w:val="true"/>
      <w:bidi w:val="0"/>
      <w:spacing w:lineRule="auto" w:line="240" w:before="0" w:after="0"/>
      <w:jc w:val="left"/>
    </w:pPr>
    <w:rPr>
      <w:rFonts w:ascii="Times New Roman" w:hAnsi="Times New Roman" w:eastAsia="NSimSun" w:cs="Arial Unicode MS"/>
      <w:color w:val="auto"/>
      <w:kern w:val="0"/>
      <w:sz w:val="20"/>
      <w:szCs w:val="20"/>
      <w:lang w:val="ru-RU" w:eastAsia="zh-CN" w:bidi="ar-SA"/>
    </w:rPr>
  </w:style>
  <w:style w:type="paragraph" w:styleId="Style19">
    <w:name w:val="Footer"/>
    <w:link w:val="679"/>
    <w:uiPriority w:val="99"/>
    <w:unhideWhenUsed/>
    <w:pPr>
      <w:widowControl/>
      <w:tabs>
        <w:tab w:val="clear" w:pos="708"/>
        <w:tab w:val="center" w:pos="7143" w:leader="none"/>
        <w:tab w:val="right" w:pos="14287" w:leader="none"/>
      </w:tabs>
      <w:suppressAutoHyphens w:val="true"/>
      <w:bidi w:val="0"/>
      <w:spacing w:lineRule="auto" w:line="240" w:before="0" w:after="0"/>
      <w:jc w:val="left"/>
    </w:pPr>
    <w:rPr>
      <w:rFonts w:ascii="Times New Roman" w:hAnsi="Times New Roman" w:eastAsia="NSimSun" w:cs="Arial Unicode MS"/>
      <w:color w:val="auto"/>
      <w:kern w:val="0"/>
      <w:sz w:val="20"/>
      <w:szCs w:val="20"/>
      <w:lang w:val="ru-RU" w:eastAsia="zh-CN" w:bidi="ar-SA"/>
    </w:rPr>
  </w:style>
  <w:style w:type="paragraph" w:styleId="Style20">
    <w:name w:val="Footnote Text"/>
    <w:link w:val="808"/>
    <w:uiPriority w:val="99"/>
    <w:semiHidden/>
    <w:unhideWhenUsed/>
    <w:pPr>
      <w:widowControl/>
      <w:suppressAutoHyphens w:val="true"/>
      <w:bidi w:val="0"/>
      <w:spacing w:lineRule="auto" w:line="240" w:before="0" w:after="40"/>
      <w:jc w:val="left"/>
    </w:pPr>
    <w:rPr>
      <w:rFonts w:ascii="Times New Roman" w:hAnsi="Times New Roman" w:eastAsia="NSimSun" w:cs="Arial Unicode MS"/>
      <w:color w:val="auto"/>
      <w:kern w:val="0"/>
      <w:sz w:val="18"/>
      <w:szCs w:val="20"/>
      <w:lang w:val="ru-RU" w:eastAsia="zh-CN" w:bidi="ar-SA"/>
    </w:rPr>
  </w:style>
  <w:style w:type="paragraph" w:styleId="Style21">
    <w:name w:val="Endnote Text"/>
    <w:link w:val="811"/>
    <w:uiPriority w:val="99"/>
    <w:semiHidden/>
    <w:unhideWhenUsed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NSimSun" w:cs="Arial Unicode MS"/>
      <w:color w:val="auto"/>
      <w:kern w:val="0"/>
      <w:sz w:val="20"/>
      <w:szCs w:val="20"/>
      <w:lang w:val="ru-RU" w:eastAsia="zh-CN" w:bidi="ar-SA"/>
    </w:rPr>
  </w:style>
  <w:style w:type="paragraph" w:styleId="11">
    <w:name w:val="TOC 1"/>
    <w:uiPriority w:val="39"/>
    <w:unhideWhenUsed/>
    <w:pPr>
      <w:widowControl/>
      <w:suppressAutoHyphens w:val="true"/>
      <w:bidi w:val="0"/>
      <w:spacing w:before="0" w:after="57"/>
      <w:ind w:left="0" w:right="0" w:hanging="0"/>
      <w:jc w:val="left"/>
    </w:pPr>
    <w:rPr>
      <w:rFonts w:ascii="Times New Roman" w:hAnsi="Times New Roman" w:eastAsia="NSimSun" w:cs="Arial Unicode MS"/>
      <w:color w:val="auto"/>
      <w:kern w:val="0"/>
      <w:sz w:val="20"/>
      <w:szCs w:val="20"/>
      <w:lang w:val="ru-RU" w:eastAsia="zh-CN" w:bidi="ar-SA"/>
    </w:rPr>
  </w:style>
  <w:style w:type="paragraph" w:styleId="21">
    <w:name w:val="TOC 2"/>
    <w:uiPriority w:val="39"/>
    <w:unhideWhenUsed/>
    <w:pPr>
      <w:widowControl/>
      <w:suppressAutoHyphens w:val="true"/>
      <w:bidi w:val="0"/>
      <w:spacing w:before="0" w:after="57"/>
      <w:ind w:left="283" w:right="0" w:hanging="0"/>
      <w:jc w:val="left"/>
    </w:pPr>
    <w:rPr>
      <w:rFonts w:ascii="Times New Roman" w:hAnsi="Times New Roman" w:eastAsia="NSimSun" w:cs="Arial Unicode MS"/>
      <w:color w:val="auto"/>
      <w:kern w:val="0"/>
      <w:sz w:val="20"/>
      <w:szCs w:val="20"/>
      <w:lang w:val="ru-RU" w:eastAsia="zh-CN" w:bidi="ar-SA"/>
    </w:rPr>
  </w:style>
  <w:style w:type="paragraph" w:styleId="31">
    <w:name w:val="TOC 3"/>
    <w:uiPriority w:val="39"/>
    <w:unhideWhenUsed/>
    <w:pPr>
      <w:widowControl/>
      <w:suppressAutoHyphens w:val="true"/>
      <w:bidi w:val="0"/>
      <w:spacing w:before="0" w:after="57"/>
      <w:ind w:left="567" w:right="0" w:hanging="0"/>
      <w:jc w:val="left"/>
    </w:pPr>
    <w:rPr>
      <w:rFonts w:ascii="Times New Roman" w:hAnsi="Times New Roman" w:eastAsia="NSimSun" w:cs="Arial Unicode MS"/>
      <w:color w:val="auto"/>
      <w:kern w:val="0"/>
      <w:sz w:val="20"/>
      <w:szCs w:val="20"/>
      <w:lang w:val="ru-RU" w:eastAsia="zh-CN" w:bidi="ar-SA"/>
    </w:rPr>
  </w:style>
  <w:style w:type="paragraph" w:styleId="41">
    <w:name w:val="TOC 4"/>
    <w:uiPriority w:val="39"/>
    <w:unhideWhenUsed/>
    <w:pPr>
      <w:widowControl/>
      <w:suppressAutoHyphens w:val="true"/>
      <w:bidi w:val="0"/>
      <w:spacing w:before="0" w:after="57"/>
      <w:ind w:left="850" w:right="0" w:hanging="0"/>
      <w:jc w:val="left"/>
    </w:pPr>
    <w:rPr>
      <w:rFonts w:ascii="Times New Roman" w:hAnsi="Times New Roman" w:eastAsia="NSimSun" w:cs="Arial Unicode MS"/>
      <w:color w:val="auto"/>
      <w:kern w:val="0"/>
      <w:sz w:val="20"/>
      <w:szCs w:val="20"/>
      <w:lang w:val="ru-RU" w:eastAsia="zh-CN" w:bidi="ar-SA"/>
    </w:rPr>
  </w:style>
  <w:style w:type="paragraph" w:styleId="51">
    <w:name w:val="TOC 5"/>
    <w:uiPriority w:val="39"/>
    <w:unhideWhenUsed/>
    <w:pPr>
      <w:widowControl/>
      <w:suppressAutoHyphens w:val="true"/>
      <w:bidi w:val="0"/>
      <w:spacing w:before="0" w:after="57"/>
      <w:ind w:left="1134" w:right="0" w:hanging="0"/>
      <w:jc w:val="left"/>
    </w:pPr>
    <w:rPr>
      <w:rFonts w:ascii="Times New Roman" w:hAnsi="Times New Roman" w:eastAsia="NSimSun" w:cs="Arial Unicode MS"/>
      <w:color w:val="auto"/>
      <w:kern w:val="0"/>
      <w:sz w:val="20"/>
      <w:szCs w:val="20"/>
      <w:lang w:val="ru-RU" w:eastAsia="zh-CN" w:bidi="ar-SA"/>
    </w:rPr>
  </w:style>
  <w:style w:type="paragraph" w:styleId="61">
    <w:name w:val="TOC 6"/>
    <w:uiPriority w:val="39"/>
    <w:unhideWhenUsed/>
    <w:pPr>
      <w:widowControl/>
      <w:suppressAutoHyphens w:val="true"/>
      <w:bidi w:val="0"/>
      <w:spacing w:before="0" w:after="57"/>
      <w:ind w:left="1417" w:right="0" w:hanging="0"/>
      <w:jc w:val="left"/>
    </w:pPr>
    <w:rPr>
      <w:rFonts w:ascii="Times New Roman" w:hAnsi="Times New Roman" w:eastAsia="NSimSun" w:cs="Arial Unicode MS"/>
      <w:color w:val="auto"/>
      <w:kern w:val="0"/>
      <w:sz w:val="20"/>
      <w:szCs w:val="20"/>
      <w:lang w:val="ru-RU" w:eastAsia="zh-CN" w:bidi="ar-SA"/>
    </w:rPr>
  </w:style>
  <w:style w:type="paragraph" w:styleId="71">
    <w:name w:val="TOC 7"/>
    <w:uiPriority w:val="39"/>
    <w:unhideWhenUsed/>
    <w:pPr>
      <w:widowControl/>
      <w:suppressAutoHyphens w:val="true"/>
      <w:bidi w:val="0"/>
      <w:spacing w:before="0" w:after="57"/>
      <w:ind w:left="1701" w:right="0" w:hanging="0"/>
      <w:jc w:val="left"/>
    </w:pPr>
    <w:rPr>
      <w:rFonts w:ascii="Times New Roman" w:hAnsi="Times New Roman" w:eastAsia="NSimSun" w:cs="Arial Unicode MS"/>
      <w:color w:val="auto"/>
      <w:kern w:val="0"/>
      <w:sz w:val="20"/>
      <w:szCs w:val="20"/>
      <w:lang w:val="ru-RU" w:eastAsia="zh-CN" w:bidi="ar-SA"/>
    </w:rPr>
  </w:style>
  <w:style w:type="paragraph" w:styleId="81">
    <w:name w:val="TOC 8"/>
    <w:uiPriority w:val="39"/>
    <w:unhideWhenUsed/>
    <w:pPr>
      <w:widowControl/>
      <w:suppressAutoHyphens w:val="true"/>
      <w:bidi w:val="0"/>
      <w:spacing w:before="0" w:after="57"/>
      <w:ind w:left="1984" w:right="0" w:hanging="0"/>
      <w:jc w:val="left"/>
    </w:pPr>
    <w:rPr>
      <w:rFonts w:ascii="Times New Roman" w:hAnsi="Times New Roman" w:eastAsia="NSimSun" w:cs="Arial Unicode MS"/>
      <w:color w:val="auto"/>
      <w:kern w:val="0"/>
      <w:sz w:val="20"/>
      <w:szCs w:val="20"/>
      <w:lang w:val="ru-RU" w:eastAsia="zh-CN" w:bidi="ar-SA"/>
    </w:rPr>
  </w:style>
  <w:style w:type="paragraph" w:styleId="91">
    <w:name w:val="TOC 9"/>
    <w:uiPriority w:val="39"/>
    <w:unhideWhenUsed/>
    <w:pPr>
      <w:widowControl/>
      <w:suppressAutoHyphens w:val="true"/>
      <w:bidi w:val="0"/>
      <w:spacing w:before="0" w:after="57"/>
      <w:ind w:left="2268" w:right="0" w:hanging="0"/>
      <w:jc w:val="left"/>
    </w:pPr>
    <w:rPr>
      <w:rFonts w:ascii="Times New Roman" w:hAnsi="Times New Roman" w:eastAsia="NSimSun" w:cs="Arial Unicode MS"/>
      <w:color w:val="auto"/>
      <w:kern w:val="0"/>
      <w:sz w:val="20"/>
      <w:szCs w:val="20"/>
      <w:lang w:val="ru-RU" w:eastAsia="zh-CN" w:bidi="ar-SA"/>
    </w:rPr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 Unicode MS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uiPriority w:val="99"/>
    <w:unhideWhenUsed/>
    <w:qFormat/>
    <w:pPr>
      <w:widowControl/>
      <w:suppressAutoHyphens w:val="true"/>
      <w:bidi w:val="0"/>
      <w:spacing w:before="0" w:afterAutospacing="0" w:after="0"/>
      <w:jc w:val="left"/>
    </w:pPr>
    <w:rPr>
      <w:rFonts w:ascii="Times New Roman" w:hAnsi="Times New Roman" w:eastAsia="NSimSun" w:cs="Arial Unicode MS"/>
      <w:color w:val="auto"/>
      <w:kern w:val="0"/>
      <w:sz w:val="20"/>
      <w:szCs w:val="20"/>
      <w:lang w:val="ru-RU" w:eastAsia="zh-CN" w:bidi="ar-SA"/>
    </w:rPr>
  </w:style>
  <w:style w:type="paragraph" w:styleId="Style22">
    <w:name w:val="Обычный"/>
    <w:link w:val="824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 Unicode MS"/>
      <w:color w:val="auto"/>
      <w:kern w:val="0"/>
      <w:sz w:val="24"/>
      <w:szCs w:val="24"/>
      <w:lang w:val="ru-RU" w:eastAsia="ru-RU" w:bidi="ar-SA"/>
    </w:rPr>
  </w:style>
  <w:style w:type="paragraph" w:styleId="Style23">
    <w:name w:val="Текст"/>
    <w:basedOn w:val="Style22"/>
    <w:link w:val="824"/>
    <w:qFormat/>
    <w:pPr/>
    <w:rPr>
      <w:rFonts w:ascii="Courier New" w:hAnsi="Courier New"/>
      <w:sz w:val="20"/>
      <w:szCs w:val="20"/>
    </w:rPr>
  </w:style>
  <w:style w:type="paragraph" w:styleId="Style24">
    <w:name w:val="Body Text Indent"/>
    <w:basedOn w:val="Style22"/>
    <w:link w:val="824"/>
    <w:pPr>
      <w:ind w:left="4395" w:hanging="0"/>
    </w:pPr>
    <w:rPr>
      <w:sz w:val="20"/>
      <w:szCs w:val="20"/>
    </w:rPr>
  </w:style>
  <w:style w:type="paragraph" w:styleId="S1">
    <w:name w:val="s_1"/>
    <w:basedOn w:val="Style22"/>
    <w:link w:val="824"/>
    <w:qFormat/>
    <w:pPr>
      <w:spacing w:beforeAutospacing="1" w:afterAutospacing="1"/>
    </w:pPr>
    <w:rPr/>
  </w:style>
  <w:style w:type="paragraph" w:styleId="Style25">
    <w:name w:val="Текст выноски"/>
    <w:basedOn w:val="Style22"/>
    <w:link w:val="824"/>
    <w:semiHidden/>
    <w:qFormat/>
    <w:pPr/>
    <w:rPr>
      <w:rFonts w:ascii="Tahoma" w:hAnsi="Tahoma"/>
      <w:sz w:val="16"/>
      <w:szCs w:val="16"/>
    </w:rPr>
  </w:style>
  <w:style w:type="numbering" w:styleId="Style26">
    <w:name w:val="Нет списка"/>
    <w:link w:val="824"/>
    <w:semiHidden/>
    <w:qFormat/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Application>LibreOffice/7.1.8.1$Windows_X86_64 LibreOffice_project/e1f30c802c3269a1d052614453f260e49458c82c</Application>
  <AppVersion>15.0000</AppVersion>
  <Pages>3</Pages>
  <Words>748</Words>
  <Characters>5425</Characters>
  <CharactersWithSpaces>6134</CharactersWithSpaces>
  <Paragraphs>39</Paragraphs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2025-10-09T18:46:00Z</dcterms:created>
  <dc:creator/>
  <dc:description/>
  <dc:language>ru-RU</dc:language>
  <cp:lastModifiedBy/>
  <cp:lastPrinted>2025-04-14T09:22:23Z</cp:lastPrinted>
  <dcterms:modified xsi:type="dcterms:W3CDTF">2025-10-09T18:54:30Z</dcterms:modified>
  <cp:revision>8</cp:revision>
  <dc:subject/>
  <dc:title>Приказ министерства природных ресурсов и экологии Саратовской области от 15.04.2022 N 155(ред. от 31.05.2024)"Об утверждении Порядка оформления, государственной регистрации и выдачи лицензий на пользование недрами, порядка внесения изменений в лицензии на пользование недрами, порядка переоформления лицензий на пользование недрами в отношении участков недр местного значения, а также порядка прекращения права пользования недрами, в том числе досрочного, приостановления осуществления права пользования недрам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