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5"/>
        <w:ind w:left="0" w:right="0" w:firstLine="709"/>
        <w:jc w:val="center"/>
        <w:spacing w:lineRule="auto" w:line="240" w:after="0" w:before="0"/>
        <w:rPr>
          <w:rFonts w:ascii="PT Astra Serif" w:hAnsi="PT Astra Serif" w:cs="PT Astra Serif" w:eastAsia="PT Astra Serif"/>
          <w:b/>
          <w:color w:val="auto"/>
          <w:sz w:val="28"/>
          <w:szCs w:val="24"/>
        </w:rPr>
      </w:pPr>
      <w:r>
        <w:rPr>
          <w:rFonts w:ascii="PT Astra Serif" w:hAnsi="PT Astra Serif" w:cs="PT Astra Serif" w:eastAsia="PT Astra Serif"/>
          <w:b/>
          <w:bCs/>
          <w:color w:val="auto"/>
          <w:sz w:val="28"/>
          <w:szCs w:val="24"/>
          <w:highlight w:val="none"/>
        </w:rPr>
      </w:r>
      <w:r>
        <w:rPr>
          <w:rFonts w:ascii="PT Astra Serif" w:hAnsi="PT Astra Serif" w:cs="PT Astra Serif" w:eastAsia="PT Astra Serif"/>
          <w:b/>
          <w:bCs/>
          <w:color w:val="auto"/>
          <w:sz w:val="28"/>
          <w:szCs w:val="24"/>
          <w:highlight w:val="none"/>
        </w:rPr>
      </w:r>
    </w:p>
    <w:p>
      <w:pPr>
        <w:pStyle w:val="605"/>
        <w:ind w:left="0" w:right="0" w:firstLine="709"/>
        <w:jc w:val="center"/>
        <w:spacing w:lineRule="auto" w:line="240" w:after="0" w:before="0"/>
        <w:rPr>
          <w:rFonts w:ascii="PT Astra Serif" w:hAnsi="PT Astra Serif" w:cs="PT Astra Serif" w:eastAsia="PT Astra Serif"/>
          <w:b/>
          <w:color w:val="auto"/>
          <w:sz w:val="28"/>
          <w:szCs w:val="24"/>
          <w:highlight w:val="none"/>
        </w:rPr>
      </w:pPr>
      <w:r>
        <w:rPr>
          <w:rFonts w:ascii="PT Astra Serif" w:hAnsi="PT Astra Serif" w:cs="PT Astra Serif" w:eastAsia="PT Astra Serif"/>
          <w:b/>
          <w:bCs/>
          <w:color w:val="auto"/>
          <w:sz w:val="28"/>
          <w:szCs w:val="24"/>
        </w:rPr>
        <w:t xml:space="preserve">Основания для отказа </w:t>
      </w:r>
      <w:r>
        <w:rPr>
          <w:rFonts w:ascii="PT Astra Serif" w:hAnsi="PT Astra Serif" w:cs="PT Astra Serif" w:eastAsia="PT Astra Serif"/>
          <w:b/>
          <w:bCs/>
          <w:color w:val="auto"/>
          <w:sz w:val="28"/>
          <w:szCs w:val="24"/>
        </w:rPr>
        <w:t xml:space="preserve">при предоставлении государственной </w:t>
      </w:r>
      <w:r/>
    </w:p>
    <w:p>
      <w:pPr>
        <w:pStyle w:val="605"/>
        <w:ind w:left="0" w:right="0" w:firstLine="709"/>
        <w:jc w:val="center"/>
        <w:spacing w:lineRule="auto" w:line="240" w:after="0" w:before="0"/>
        <w:rPr>
          <w:rFonts w:ascii="PT Astra Serif" w:hAnsi="PT Astra Serif" w:cs="PT Astra Serif" w:eastAsia="PT Astra Serif"/>
          <w:sz w:val="28"/>
        </w:rPr>
      </w:pPr>
      <w:r>
        <w:rPr>
          <w:rFonts w:ascii="PT Astra Serif" w:hAnsi="PT Astra Serif" w:cs="PT Astra Serif" w:eastAsia="PT Astra Serif"/>
          <w:b/>
          <w:bCs/>
          <w:color w:val="auto"/>
          <w:sz w:val="28"/>
          <w:szCs w:val="24"/>
        </w:rPr>
        <w:t xml:space="preserve">услуги: </w:t>
      </w:r>
      <w:r>
        <w:rPr>
          <w:rFonts w:ascii="PT Astra Serif" w:hAnsi="PT Astra Serif" w:cs="PT Astra Serif" w:eastAsia="PT Astra Serif"/>
          <w:b/>
          <w:bCs/>
          <w:color w:val="auto"/>
          <w:sz w:val="28"/>
          <w:szCs w:val="24"/>
        </w:rPr>
        <w:t xml:space="preserve">«Согласование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значения» </w:t>
      </w:r>
      <w:r>
        <w:rPr>
          <w:rFonts w:ascii="PT Astra Serif" w:hAnsi="PT Astra Serif" w:cs="PT Astra Serif" w:eastAsia="PT Astra Serif"/>
          <w:b/>
          <w:bCs/>
          <w:color w:val="auto"/>
          <w:sz w:val="28"/>
          <w:szCs w:val="24"/>
        </w:rPr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605"/>
        <w:ind w:left="0" w:right="0" w:firstLine="709"/>
        <w:jc w:val="left"/>
        <w:spacing w:lineRule="auto" w:line="240" w:after="0" w:before="0"/>
        <w:rPr>
          <w:rFonts w:ascii="PT Astra Serif" w:hAnsi="PT Astra Serif" w:cs="PT Astra Serif" w:eastAsia="PT Astra Serif"/>
          <w:color w:val="auto"/>
          <w:sz w:val="28"/>
          <w:szCs w:val="24"/>
        </w:rPr>
      </w:pPr>
      <w:r>
        <w:rPr>
          <w:rFonts w:ascii="PT Astra Serif" w:hAnsi="PT Astra Serif" w:cs="PT Astra Serif" w:eastAsia="PT Astra Serif"/>
          <w:color w:val="auto"/>
          <w:sz w:val="28"/>
          <w:szCs w:val="24"/>
        </w:rPr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605"/>
        <w:ind w:left="0" w:right="0" w:firstLine="709"/>
        <w:jc w:val="both"/>
        <w:spacing w:lineRule="auto" w:line="240" w:after="0" w:before="0"/>
        <w:rPr>
          <w:rFonts w:ascii="PT Astra Serif" w:hAnsi="PT Astra Serif" w:cs="PT Astra Serif" w:eastAsia="PT Astra Serif"/>
          <w:sz w:val="28"/>
          <w:u w:val="none"/>
        </w:rPr>
      </w:pPr>
      <w:r>
        <w:rPr>
          <w:rFonts w:ascii="PT Astra Serif" w:hAnsi="PT Astra Serif" w:cs="PT Astra Serif" w:eastAsia="PT Astra Serif"/>
          <w:color w:val="auto"/>
          <w:sz w:val="28"/>
          <w:szCs w:val="24"/>
          <w:u w:val="none"/>
        </w:rPr>
        <w:t xml:space="preserve"> Основаниями для принятия комиссией или уполномоченным органом решения об отказе в согласовании проектной документации являются:</w:t>
      </w:r>
      <w:r>
        <w:rPr>
          <w:rFonts w:ascii="PT Astra Serif" w:hAnsi="PT Astra Serif" w:cs="PT Astra Serif" w:eastAsia="PT Astra Serif"/>
          <w:sz w:val="28"/>
          <w:u w:val="none"/>
        </w:rPr>
      </w:r>
    </w:p>
    <w:p>
      <w:pPr>
        <w:pStyle w:val="605"/>
        <w:ind w:left="0" w:right="0" w:firstLine="709"/>
        <w:jc w:val="both"/>
        <w:spacing w:lineRule="auto" w:line="240" w:after="0" w:before="0"/>
        <w:rPr>
          <w:rFonts w:ascii="PT Astra Serif" w:hAnsi="PT Astra Serif" w:cs="PT Astra Serif" w:eastAsia="PT Astra Serif"/>
          <w:sz w:val="28"/>
        </w:rPr>
      </w:pPr>
      <w:r>
        <w:rPr>
          <w:rFonts w:ascii="PT Astra Serif" w:hAnsi="PT Astra Serif" w:cs="PT Astra Serif" w:eastAsia="PT Astra Serif"/>
          <w:color w:val="auto"/>
          <w:sz w:val="28"/>
          <w:szCs w:val="24"/>
        </w:rPr>
        <w:t xml:space="preserve">а) несоответствие проектной документации условиям пользования недрами, установленным в лицензии на пользование недрами, и (или) требованиям законодательства Российской Федерации о недрах;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605"/>
        <w:ind w:left="0" w:right="0" w:firstLine="709"/>
        <w:jc w:val="both"/>
        <w:spacing w:lineRule="auto" w:line="240" w:after="0" w:before="0"/>
        <w:rPr>
          <w:rFonts w:ascii="PT Astra Serif" w:hAnsi="PT Astra Serif" w:cs="PT Astra Serif" w:eastAsia="PT Astra Serif"/>
          <w:sz w:val="28"/>
        </w:rPr>
      </w:pPr>
      <w:r>
        <w:rPr>
          <w:rFonts w:ascii="PT Astra Serif" w:hAnsi="PT Astra Serif" w:cs="PT Astra Serif" w:eastAsia="PT Astra Serif"/>
          <w:color w:val="auto"/>
          <w:sz w:val="28"/>
          <w:szCs w:val="24"/>
        </w:rPr>
        <w:t xml:space="preserve">б) несоответствие проектной документации требованиям пунктов 13 - 15 настоящих Правил и (или) требованиям по рациональному использованию и охране недр;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605"/>
        <w:ind w:left="0" w:right="0" w:firstLine="709"/>
        <w:jc w:val="both"/>
        <w:spacing w:lineRule="auto" w:line="240" w:after="0" w:before="0"/>
        <w:rPr>
          <w:rFonts w:ascii="PT Astra Serif" w:hAnsi="PT Astra Serif" w:cs="PT Astra Serif" w:eastAsia="PT Astra Serif"/>
          <w:sz w:val="28"/>
        </w:rPr>
      </w:pPr>
      <w:r>
        <w:rPr>
          <w:rFonts w:ascii="PT Astra Serif" w:hAnsi="PT Astra Serif" w:cs="PT Astra Serif" w:eastAsia="PT Astra Serif"/>
          <w:color w:val="auto"/>
          <w:sz w:val="28"/>
          <w:szCs w:val="24"/>
        </w:rPr>
        <w:t xml:space="preserve">в) несоответствие данных, указанных в проектной документации, заключению государственной экспертизы запасов полезных ископаемых и подземных вод, геологической информации о предоставляемых в пользование участках недр;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605"/>
        <w:ind w:left="0" w:right="0" w:firstLine="709"/>
        <w:jc w:val="both"/>
        <w:spacing w:lineRule="auto" w:line="240" w:after="0" w:before="0"/>
        <w:rPr>
          <w:rFonts w:ascii="PT Astra Serif" w:hAnsi="PT Astra Serif" w:cs="PT Astra Serif" w:eastAsia="PT Astra Serif"/>
          <w:sz w:val="28"/>
        </w:rPr>
      </w:pPr>
      <w:r>
        <w:rPr>
          <w:rFonts w:ascii="PT Astra Serif" w:hAnsi="PT Astra Serif" w:cs="PT Astra Serif" w:eastAsia="PT Astra Serif"/>
          <w:color w:val="auto"/>
          <w:sz w:val="28"/>
          <w:szCs w:val="24"/>
        </w:rPr>
        <w:t xml:space="preserve">г) несоответствие проектной документации составу и содержанию технических проектов, определенным правилами подготовки технических проектов разработки месторождений полезных ископаемых по видам полезных ископаемых, а также требованиям к структуре и оформлени</w:t>
      </w:r>
      <w:r>
        <w:rPr>
          <w:rFonts w:ascii="PT Astra Serif" w:hAnsi="PT Astra Serif" w:cs="PT Astra Serif" w:eastAsia="PT Astra Serif"/>
          <w:color w:val="auto"/>
          <w:sz w:val="28"/>
          <w:szCs w:val="24"/>
        </w:rPr>
        <w:t xml:space="preserve">ю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предусмотренных пунктом 9 настоящих Правил.</w:t>
      </w:r>
      <w:r>
        <w:rPr>
          <w:rFonts w:ascii="PT Astra Serif" w:hAnsi="PT Astra Serif" w:cs="PT Astra Serif" w:eastAsia="PT Astra Serif"/>
          <w:color w:val="auto"/>
          <w:sz w:val="28"/>
          <w:szCs w:val="24"/>
        </w:rPr>
      </w:r>
      <w:r>
        <w:rPr>
          <w:rFonts w:ascii="PT Astra Serif" w:hAnsi="PT Astra Serif" w:cs="PT Astra Serif" w:eastAsia="PT Astra Serif"/>
          <w:sz w:val="28"/>
        </w:rPr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397" w:right="850" w:bottom="1134" w:left="1701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Microsoft YaHei">
    <w:panose1 w:val="020B0503020204020204"/>
  </w:font>
  <w:font w:name="Liberation Sans">
    <w:panose1 w:val="020B0604020202020204"/>
  </w:font>
  <w:font w:name="Liberation Serif">
    <w:panose1 w:val="02020603050405020304"/>
  </w:font>
  <w:font w:name="PT Astra Serif">
    <w:panose1 w:val="020A06030405050202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598"/>
    <w:next w:val="59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7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5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5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5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5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5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5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5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59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5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table" w:styleId="597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598" w:default="1">
    <w:name w:val="Normal"/>
    <w:next w:val="598"/>
    <w:link w:val="598"/>
    <w:rPr>
      <w:rFonts w:ascii="Liberation Serif" w:hAnsi="Liberation Serif" w:eastAsia="NSimSun"/>
      <w:color w:val="auto"/>
      <w:sz w:val="24"/>
      <w:szCs w:val="24"/>
      <w:lang w:val="ru-RU" w:bidi="hi-IN" w:eastAsia="zh-CN"/>
    </w:rPr>
    <w:pPr>
      <w:widowControl w:val="off"/>
    </w:pPr>
  </w:style>
  <w:style w:type="character" w:styleId="599">
    <w:name w:val="Интернет-ссылка"/>
    <w:next w:val="599"/>
    <w:link w:val="598"/>
    <w:rPr>
      <w:color w:val="000080"/>
      <w:u w:val="single"/>
      <w:lang w:val="en-US" w:bidi="en-US" w:eastAsia="en-US"/>
    </w:rPr>
  </w:style>
  <w:style w:type="paragraph" w:styleId="600">
    <w:name w:val="Заголовок"/>
    <w:basedOn w:val="598"/>
    <w:next w:val="601"/>
    <w:link w:val="598"/>
    <w:rPr>
      <w:rFonts w:ascii="Liberation Sans" w:hAnsi="Liberation Sans" w:eastAsia="Microsoft YaHei"/>
      <w:sz w:val="28"/>
      <w:szCs w:val="28"/>
    </w:rPr>
    <w:pPr>
      <w:keepNext/>
      <w:spacing w:after="120" w:before="240"/>
    </w:pPr>
  </w:style>
  <w:style w:type="paragraph" w:styleId="601">
    <w:name w:val="Основной текст"/>
    <w:basedOn w:val="598"/>
    <w:next w:val="601"/>
    <w:link w:val="598"/>
    <w:pPr>
      <w:spacing w:lineRule="auto" w:line="276" w:after="140" w:before="0"/>
    </w:pPr>
  </w:style>
  <w:style w:type="paragraph" w:styleId="602">
    <w:name w:val="Список"/>
    <w:basedOn w:val="601"/>
    <w:next w:val="602"/>
    <w:link w:val="598"/>
  </w:style>
  <w:style w:type="paragraph" w:styleId="603">
    <w:name w:val="Название"/>
    <w:basedOn w:val="598"/>
    <w:next w:val="603"/>
    <w:link w:val="598"/>
    <w:rPr>
      <w:i/>
      <w:iCs/>
      <w:sz w:val="24"/>
      <w:szCs w:val="24"/>
    </w:rPr>
    <w:pPr>
      <w:spacing w:after="120" w:before="120"/>
      <w:suppressLineNumbers/>
    </w:pPr>
  </w:style>
  <w:style w:type="paragraph" w:styleId="604">
    <w:name w:val="Указатель"/>
    <w:basedOn w:val="598"/>
    <w:next w:val="604"/>
    <w:link w:val="598"/>
    <w:pPr>
      <w:suppressLineNumbers/>
    </w:pPr>
  </w:style>
  <w:style w:type="paragraph" w:styleId="605">
    <w:name w:val="ConsPlusNormal"/>
    <w:next w:val="605"/>
    <w:link w:val="598"/>
    <w:rPr>
      <w:rFonts w:ascii="Arial" w:hAnsi="Arial" w:eastAsia="Arial"/>
      <w:b w:val="false"/>
      <w:i w:val="false"/>
      <w:strike w:val="false"/>
      <w:color w:val="auto"/>
      <w:sz w:val="16"/>
      <w:szCs w:val="24"/>
      <w:u w:val="none"/>
      <w:lang w:val="ru-RU" w:bidi="hi-IN" w:eastAsia="zh-CN"/>
    </w:rPr>
    <w:pPr>
      <w:widowControl w:val="off"/>
    </w:pPr>
  </w:style>
  <w:style w:type="paragraph" w:styleId="606">
    <w:name w:val="ConsPlusNonformat"/>
    <w:next w:val="606"/>
    <w:link w:val="598"/>
    <w:rPr>
      <w:rFonts w:ascii="Courier New" w:hAnsi="Courier New" w:eastAsia="Arial"/>
      <w:b w:val="false"/>
      <w:i w:val="false"/>
      <w:strike w:val="false"/>
      <w:color w:val="auto"/>
      <w:sz w:val="20"/>
      <w:szCs w:val="24"/>
      <w:u w:val="none"/>
      <w:lang w:val="ru-RU" w:bidi="hi-IN" w:eastAsia="zh-CN"/>
    </w:rPr>
    <w:pPr>
      <w:widowControl w:val="off"/>
    </w:pPr>
  </w:style>
  <w:style w:type="paragraph" w:styleId="607">
    <w:name w:val="ConsPlusTitle"/>
    <w:next w:val="607"/>
    <w:link w:val="598"/>
    <w:rPr>
      <w:rFonts w:ascii="Arial" w:hAnsi="Arial" w:eastAsia="Arial"/>
      <w:b/>
      <w:i w:val="false"/>
      <w:strike w:val="false"/>
      <w:color w:val="auto"/>
      <w:sz w:val="16"/>
      <w:szCs w:val="24"/>
      <w:u w:val="none"/>
      <w:lang w:val="ru-RU" w:bidi="hi-IN" w:eastAsia="zh-CN"/>
    </w:rPr>
    <w:pPr>
      <w:widowControl w:val="off"/>
    </w:pPr>
  </w:style>
  <w:style w:type="paragraph" w:styleId="608">
    <w:name w:val="ConsPlusCell"/>
    <w:next w:val="608"/>
    <w:link w:val="598"/>
    <w:rPr>
      <w:rFonts w:ascii="Courier New" w:hAnsi="Courier New" w:eastAsia="Arial"/>
      <w:b w:val="false"/>
      <w:i w:val="false"/>
      <w:strike w:val="false"/>
      <w:color w:val="auto"/>
      <w:sz w:val="20"/>
      <w:szCs w:val="24"/>
      <w:u w:val="none"/>
      <w:lang w:val="ru-RU" w:bidi="hi-IN" w:eastAsia="zh-CN"/>
    </w:rPr>
    <w:pPr>
      <w:widowControl w:val="off"/>
    </w:pPr>
  </w:style>
  <w:style w:type="paragraph" w:styleId="609">
    <w:name w:val="ConsPlusDocList"/>
    <w:next w:val="609"/>
    <w:link w:val="598"/>
    <w:rPr>
      <w:rFonts w:ascii="Courier New" w:hAnsi="Courier New" w:eastAsia="Arial"/>
      <w:b w:val="false"/>
      <w:i w:val="false"/>
      <w:strike w:val="false"/>
      <w:color w:val="auto"/>
      <w:sz w:val="16"/>
      <w:szCs w:val="24"/>
      <w:u w:val="none"/>
      <w:lang w:val="ru-RU" w:bidi="hi-IN" w:eastAsia="zh-CN"/>
    </w:rPr>
    <w:pPr>
      <w:widowControl w:val="off"/>
    </w:pPr>
  </w:style>
  <w:style w:type="paragraph" w:styleId="610">
    <w:name w:val="ConsPlusTitlePage"/>
    <w:next w:val="610"/>
    <w:link w:val="598"/>
    <w:rPr>
      <w:rFonts w:ascii="Tahoma" w:hAnsi="Tahoma" w:eastAsia="Arial"/>
      <w:b w:val="false"/>
      <w:i w:val="false"/>
      <w:strike w:val="false"/>
      <w:color w:val="auto"/>
      <w:sz w:val="16"/>
      <w:szCs w:val="24"/>
      <w:u w:val="none"/>
      <w:lang w:val="ru-RU" w:bidi="hi-IN" w:eastAsia="zh-CN"/>
    </w:rPr>
    <w:pPr>
      <w:widowControl w:val="off"/>
    </w:pPr>
  </w:style>
  <w:style w:type="paragraph" w:styleId="611">
    <w:name w:val="ConsPlusJurTerm"/>
    <w:next w:val="611"/>
    <w:link w:val="598"/>
    <w:rPr>
      <w:rFonts w:ascii="Tahoma" w:hAnsi="Tahoma" w:eastAsia="Arial"/>
      <w:b w:val="false"/>
      <w:i w:val="false"/>
      <w:strike w:val="false"/>
      <w:color w:val="auto"/>
      <w:sz w:val="26"/>
      <w:szCs w:val="24"/>
      <w:u w:val="none"/>
      <w:lang w:val="ru-RU" w:bidi="hi-IN" w:eastAsia="zh-CN"/>
    </w:rPr>
    <w:pPr>
      <w:widowControl w:val="off"/>
    </w:pPr>
  </w:style>
  <w:style w:type="paragraph" w:styleId="612">
    <w:name w:val="ConsPlusTextList"/>
    <w:next w:val="612"/>
    <w:link w:val="598"/>
    <w:rPr>
      <w:rFonts w:ascii="Arial" w:hAnsi="Arial" w:eastAsia="Arial"/>
      <w:b w:val="false"/>
      <w:i w:val="false"/>
      <w:strike w:val="false"/>
      <w:color w:val="auto"/>
      <w:sz w:val="20"/>
      <w:szCs w:val="24"/>
      <w:u w:val="none"/>
      <w:lang w:val="ru-RU" w:bidi="hi-IN" w:eastAsia="zh-CN"/>
    </w:rPr>
    <w:pPr>
      <w:widowControl w:val="off"/>
    </w:pPr>
  </w:style>
  <w:style w:type="character" w:styleId="935" w:default="1">
    <w:name w:val="Default Paragraph Font"/>
    <w:uiPriority w:val="1"/>
    <w:semiHidden/>
    <w:unhideWhenUsed/>
  </w:style>
  <w:style w:type="numbering" w:styleId="93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Р7-Офис/6.4.2.28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2025-10-10T06:21:47Z</dcterms:modified>
</cp:coreProperties>
</file>